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FCA9" w14:textId="75A37B8A" w:rsidR="0037555F" w:rsidRPr="0037555F" w:rsidRDefault="0037555F" w:rsidP="0037555F">
      <w:pPr>
        <w:jc w:val="center"/>
        <w:rPr>
          <w:b/>
          <w:bCs/>
          <w:sz w:val="26"/>
          <w:szCs w:val="26"/>
          <w:u w:val="single"/>
        </w:rPr>
      </w:pPr>
      <w:r w:rsidRPr="0037555F">
        <w:rPr>
          <w:b/>
          <w:bCs/>
          <w:sz w:val="26"/>
          <w:szCs w:val="26"/>
          <w:u w:val="single"/>
        </w:rPr>
        <w:t>Local authority greenhouse gas emissions across London (2005-202</w:t>
      </w:r>
      <w:r w:rsidR="00B50702">
        <w:rPr>
          <w:b/>
          <w:bCs/>
          <w:sz w:val="26"/>
          <w:szCs w:val="26"/>
          <w:u w:val="single"/>
        </w:rPr>
        <w:t>4</w:t>
      </w:r>
      <w:r w:rsidRPr="0037555F">
        <w:rPr>
          <w:b/>
          <w:bCs/>
          <w:sz w:val="26"/>
          <w:szCs w:val="26"/>
          <w:u w:val="single"/>
        </w:rPr>
        <w:t>)</w:t>
      </w:r>
    </w:p>
    <w:p w14:paraId="0FE69694" w14:textId="4985874D" w:rsidR="0037555F" w:rsidRDefault="0037555F">
      <w:r>
        <w:t xml:space="preserve">Local authorities don’t collate borough-wide data with which to estimate their annual Scope 1 and </w:t>
      </w:r>
      <w:r w:rsidR="00ED0A1A">
        <w:t xml:space="preserve">Scope </w:t>
      </w:r>
      <w:r>
        <w:t xml:space="preserve">2 greenhouse gas emissions. </w:t>
      </w:r>
      <w:r w:rsidR="00ED0A1A">
        <w:t xml:space="preserve"> </w:t>
      </w:r>
      <w:r>
        <w:t>They are provided estimates by the GLA roughly six months after DE</w:t>
      </w:r>
      <w:r w:rsidR="00584E3E">
        <w:t>SNZ</w:t>
      </w:r>
      <w:r>
        <w:t xml:space="preserve"> publishes those estimates.  D</w:t>
      </w:r>
      <w:r w:rsidR="00D65F82">
        <w:t>E</w:t>
      </w:r>
      <w:r w:rsidR="00584E3E">
        <w:t>SNZ</w:t>
      </w:r>
      <w:r>
        <w:t xml:space="preserve"> publishes estimates for a given year roughly 18 months after the end of that year.</w:t>
      </w:r>
      <w:r w:rsidR="00D65F82">
        <w:t xml:space="preserve"> </w:t>
      </w:r>
      <w:r w:rsidR="00672674">
        <w:t xml:space="preserve"> Therefore</w:t>
      </w:r>
      <w:r w:rsidR="00D65F82">
        <w:t>, in early June 202</w:t>
      </w:r>
      <w:r w:rsidR="00DF5034">
        <w:t>6</w:t>
      </w:r>
      <w:r w:rsidR="00D65F82">
        <w:t xml:space="preserve">, the most recent data </w:t>
      </w:r>
      <w:r w:rsidR="004C42DF">
        <w:t xml:space="preserve">formally </w:t>
      </w:r>
      <w:r w:rsidR="00D65F82">
        <w:t xml:space="preserve">available to </w:t>
      </w:r>
      <w:r w:rsidR="004C42DF">
        <w:t>London boroughs</w:t>
      </w:r>
      <w:r w:rsidR="00D65F82">
        <w:t xml:space="preserve"> w</w:t>
      </w:r>
      <w:r w:rsidR="00DF5034">
        <w:t>ill</w:t>
      </w:r>
      <w:r w:rsidR="00D65F82">
        <w:t xml:space="preserve"> be for January – December 202</w:t>
      </w:r>
      <w:r w:rsidR="00B50702">
        <w:t>4</w:t>
      </w:r>
      <w:r w:rsidR="00D65F82">
        <w:t>.</w:t>
      </w:r>
    </w:p>
    <w:p w14:paraId="3108CC2E" w14:textId="7BC52D9C" w:rsidR="0037555F" w:rsidRDefault="00D65F82">
      <w:r>
        <w:t xml:space="preserve">Such a time lag </w:t>
      </w:r>
      <w:r w:rsidR="0037555F">
        <w:t>is inconsistent with there being both an (accelerating) emergency</w:t>
      </w:r>
      <w:r w:rsidR="00E05CD6">
        <w:t xml:space="preserve"> -</w:t>
      </w:r>
      <w:r w:rsidR="0037555F">
        <w:t xml:space="preserve"> and rates of progress in mitigating those emissions </w:t>
      </w:r>
      <w:r w:rsidR="00996553">
        <w:t xml:space="preserve">being </w:t>
      </w:r>
      <w:r w:rsidR="0037555F">
        <w:t>slower than was needed when Climate Emergencies were declared</w:t>
      </w:r>
      <w:r w:rsidR="00ED0A1A">
        <w:t xml:space="preserve"> (and very much slower than now essential)</w:t>
      </w:r>
      <w:r w:rsidR="0037555F">
        <w:t>.</w:t>
      </w:r>
      <w:r w:rsidR="00337A37">
        <w:t xml:space="preserve">  </w:t>
      </w:r>
      <w:r w:rsidR="00AE2A2B">
        <w:t xml:space="preserve">The date by which UK consumption (and territorial) emissions should reach net zero </w:t>
      </w:r>
      <w:r w:rsidR="00672674">
        <w:t>- to meet the least ambitious UNFCCC Paris target of a global average “well below 2</w:t>
      </w:r>
      <w:r w:rsidR="00672674">
        <w:rPr>
          <w:rFonts w:cs="Arial"/>
        </w:rPr>
        <w:t>°</w:t>
      </w:r>
      <w:r w:rsidR="00672674">
        <w:t xml:space="preserve">C” - is </w:t>
      </w:r>
      <w:r w:rsidR="00AE2A2B">
        <w:t xml:space="preserve">now </w:t>
      </w:r>
      <w:r w:rsidR="00672674">
        <w:t>well before 2050</w:t>
      </w:r>
      <w:r w:rsidR="00E16C2A">
        <w:t>.</w:t>
      </w:r>
      <w:r w:rsidR="00672674">
        <w:t xml:space="preserve">  Carbon Budgets </w:t>
      </w:r>
      <w:r w:rsidR="004C42DF">
        <w:t xml:space="preserve">(and the interval between audits) </w:t>
      </w:r>
      <w:r w:rsidR="00672674">
        <w:t>should be revised accordingly</w:t>
      </w:r>
      <w:r w:rsidR="00AE2A2B">
        <w:t>.</w:t>
      </w:r>
    </w:p>
    <w:p w14:paraId="5FBAE961" w14:textId="53D5A912" w:rsidR="00F373B5" w:rsidRDefault="00D65F82">
      <w:r>
        <w:t>Large-scale, permanent negative emissions are implausible.</w:t>
      </w:r>
      <w:r w:rsidR="004C42DF">
        <w:t xml:space="preserve">  Steep reductions in the use of energy and materials deriving from fossil fuel (and wood) are imperative</w:t>
      </w:r>
    </w:p>
    <w:p w14:paraId="64FB82A3" w14:textId="0AA82854" w:rsidR="00ED0A1A" w:rsidRDefault="00ED0A1A">
      <w:r>
        <w:t>The following charts present DE</w:t>
      </w:r>
      <w:r w:rsidR="00584E3E">
        <w:t>SNZ</w:t>
      </w:r>
      <w:r>
        <w:t xml:space="preserve">’s </w:t>
      </w:r>
      <w:hyperlink r:id="rId7" w:history="1">
        <w:r w:rsidRPr="00EE34EE">
          <w:rPr>
            <w:rStyle w:val="Hyperlink"/>
          </w:rPr>
          <w:t>most recent estimates</w:t>
        </w:r>
      </w:hyperlink>
      <w:r>
        <w:t xml:space="preserve"> for London local authorities – in aggregate and by local authority.</w:t>
      </w:r>
      <w:r w:rsidR="00584E3E">
        <w:t xml:space="preserve">  </w:t>
      </w:r>
      <w:r w:rsidR="00086FD2">
        <w:t>They re</w:t>
      </w:r>
      <w:r w:rsidR="00584E3E">
        <w:t>fer to territorial emissions only</w:t>
      </w:r>
      <w:r w:rsidR="00086FD2">
        <w:t xml:space="preserve">.  To truly reflect progress, they should </w:t>
      </w:r>
      <w:r w:rsidR="00514347">
        <w:t>in</w:t>
      </w:r>
      <w:r w:rsidR="00086FD2">
        <w:t>clude e</w:t>
      </w:r>
      <w:r w:rsidR="00584E3E">
        <w:t xml:space="preserve">missions </w:t>
      </w:r>
      <w:r w:rsidR="00086FD2">
        <w:t>embodied in a</w:t>
      </w:r>
      <w:r w:rsidR="00584E3E">
        <w:t>viation, shipping and net imports</w:t>
      </w:r>
      <w:r w:rsidR="00E16C2A">
        <w:t>.</w:t>
      </w:r>
    </w:p>
    <w:p w14:paraId="2778C06F" w14:textId="676FE91E" w:rsidR="00F30C30" w:rsidRDefault="00B50702">
      <w:r w:rsidRPr="00B50702">
        <w:drawing>
          <wp:inline distT="0" distB="0" distL="0" distR="0" wp14:anchorId="7BDE8EF6" wp14:editId="1DAF417C">
            <wp:extent cx="5731510" cy="3165475"/>
            <wp:effectExtent l="0" t="0" r="2540" b="0"/>
            <wp:docPr id="788567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6E551FF0" w14:textId="721119D0" w:rsidR="00ED0A1A" w:rsidRPr="0037555F" w:rsidRDefault="00ED0A1A">
      <w:r>
        <w:t xml:space="preserve">The bars displayed as Electricity comprise Scope 2 emissions.  The </w:t>
      </w:r>
      <w:r w:rsidR="005343F0">
        <w:t>pr</w:t>
      </w:r>
      <w:r>
        <w:t xml:space="preserve">ogress which they indicate was achieved last decade is very largely attributable to </w:t>
      </w:r>
      <w:r w:rsidR="005343F0">
        <w:t>(</w:t>
      </w:r>
      <w:proofErr w:type="spellStart"/>
      <w:r w:rsidR="005343F0">
        <w:t>i</w:t>
      </w:r>
      <w:proofErr w:type="spellEnd"/>
      <w:r w:rsidR="005343F0">
        <w:t xml:space="preserve">) a single policy of </w:t>
      </w:r>
      <w:r>
        <w:t xml:space="preserve">national government (the closure of coal-fired power stations) and </w:t>
      </w:r>
      <w:r w:rsidR="005343F0">
        <w:t xml:space="preserve">(ii) </w:t>
      </w:r>
      <w:r>
        <w:t xml:space="preserve">companies (energy efficiency measures) – not local authorities or regional government.  </w:t>
      </w:r>
      <w:r w:rsidR="001D2196">
        <w:t>Since 2019, there has been little further progress, despite increasing generation of solar and wind power.  Proposals for capturing and – permanently – storing post-combustion emissions of CO2 are increasingly being exposed as a delaying tactic, viable neither technically nor commercially – without full consideration of (</w:t>
      </w:r>
      <w:proofErr w:type="spellStart"/>
      <w:r w:rsidR="001D2196">
        <w:t>i</w:t>
      </w:r>
      <w:proofErr w:type="spellEnd"/>
      <w:r w:rsidR="001D2196">
        <w:t>) upstream emissions of methane, (ii) emissions from the energy needed to compensate for the capture process and subsequent compression of the CO2 and its onwards transport and injection into geological storage, and (iii) the consequences of any subsequent leakage</w:t>
      </w:r>
      <w:r w:rsidR="005343F0">
        <w:t xml:space="preserve">, ever.  </w:t>
      </w:r>
      <w:r w:rsidR="00F30C30">
        <w:t>Emissions from the power stations which burn wood pellets are excluded, despite these being substantial.</w:t>
      </w:r>
    </w:p>
    <w:p w14:paraId="5217DB85" w14:textId="16A1C4BC" w:rsidR="005343F0" w:rsidRDefault="005343F0">
      <w:r>
        <w:lastRenderedPageBreak/>
        <w:t>The bars displayed as Gas (predominantly methane, bio- or fossil</w:t>
      </w:r>
      <w:r w:rsidR="00F30C30">
        <w:t>)</w:t>
      </w:r>
      <w:r>
        <w:t xml:space="preserve"> reveal </w:t>
      </w:r>
      <w:r w:rsidR="00F30C30">
        <w:t>little</w:t>
      </w:r>
      <w:r>
        <w:t xml:space="preserve"> </w:t>
      </w:r>
      <w:r w:rsidR="00F30C30">
        <w:t xml:space="preserve">recent </w:t>
      </w:r>
      <w:r>
        <w:t>progress.  Greenhouse gas emissions attributable to the production and supply of methane are probably neither negligible nor included in the estimates.</w:t>
      </w:r>
      <w:r w:rsidR="00F30C30">
        <w:t xml:space="preserve">  National government</w:t>
      </w:r>
      <w:r w:rsidR="003F0734">
        <w:t xml:space="preserve"> policies</w:t>
      </w:r>
      <w:r w:rsidR="00F30C30">
        <w:t xml:space="preserve"> </w:t>
      </w:r>
      <w:r w:rsidR="003F0734">
        <w:t>have a major influence on consumption of gas.  Subsidies help explain the huge difference between the prices of gas and electricity.</w:t>
      </w:r>
      <w:r w:rsidR="00DB5447">
        <w:t xml:space="preserve">  Policy failures</w:t>
      </w:r>
      <w:r w:rsidR="00BB4404">
        <w:t xml:space="preserve"> (including skills training, financial support for home improvement, and building regulations)</w:t>
      </w:r>
      <w:r w:rsidR="00DB5447">
        <w:t xml:space="preserve"> </w:t>
      </w:r>
      <w:r w:rsidR="00BB4404">
        <w:t xml:space="preserve">have </w:t>
      </w:r>
      <w:r w:rsidR="003A3370">
        <w:t xml:space="preserve">further </w:t>
      </w:r>
      <w:r w:rsidR="00BB4404">
        <w:t>impeded progress.</w:t>
      </w:r>
    </w:p>
    <w:p w14:paraId="70E47AD9" w14:textId="0A5B7EC1" w:rsidR="005343F0" w:rsidRDefault="005343F0">
      <w:r>
        <w:t>Emissions from road transport comprise a large majority of what is displayed as Other.</w:t>
      </w:r>
    </w:p>
    <w:p w14:paraId="53E5BF68" w14:textId="4C588813" w:rsidR="003F0734" w:rsidRDefault="003F0734" w:rsidP="001711C2">
      <w:r>
        <w:t xml:space="preserve">Given that context, the reader might reasonably conclude that </w:t>
      </w:r>
      <w:r w:rsidR="00584E3E">
        <w:t>DESNZ</w:t>
      </w:r>
      <w:r>
        <w:t>’s estimates demonstrate that local authorities have very little power to address the existential threats posed by their areas’ Scope 1 and 2 emissions – other than advocacy.</w:t>
      </w:r>
    </w:p>
    <w:p w14:paraId="742B4042" w14:textId="39DD3B61" w:rsidR="008A3111" w:rsidRDefault="003A3370" w:rsidP="001711C2">
      <w:r>
        <w:t>Domestic housing account</w:t>
      </w:r>
      <w:r w:rsidR="0033291D">
        <w:t>s</w:t>
      </w:r>
      <w:r>
        <w:t xml:space="preserve"> for a small proportion of the emissions of a</w:t>
      </w:r>
      <w:r w:rsidR="00795221">
        <w:t xml:space="preserve"> small number of </w:t>
      </w:r>
      <w:r w:rsidR="003F0734">
        <w:t>local authority areas</w:t>
      </w:r>
      <w:r>
        <w:t xml:space="preserve">.  </w:t>
      </w:r>
      <w:r w:rsidR="0033291D">
        <w:t>In those boroughs,</w:t>
      </w:r>
      <w:r>
        <w:t xml:space="preserve"> the focus of (public) advocacy should be national government and the commercial property sector</w:t>
      </w:r>
      <w:r w:rsidR="00DB5447">
        <w:t xml:space="preserve">.  </w:t>
      </w:r>
      <w:r>
        <w:t xml:space="preserve">For this, it would be helpful to explicitly identify the </w:t>
      </w:r>
      <w:r w:rsidR="00DB5447">
        <w:t xml:space="preserve">sectors </w:t>
      </w:r>
      <w:r>
        <w:t xml:space="preserve">which </w:t>
      </w:r>
      <w:r w:rsidR="00DB5447">
        <w:t xml:space="preserve">contribute most emissions, what progress each is making, </w:t>
      </w:r>
      <w:r w:rsidR="0033291D">
        <w:t xml:space="preserve">where within the borough </w:t>
      </w:r>
      <w:r w:rsidR="00DB5447">
        <w:t>the emissions are concentrated, and who are the leaders and laggards.</w:t>
      </w:r>
    </w:p>
    <w:p w14:paraId="709C41D0" w14:textId="65A4C2EC" w:rsidR="00795221" w:rsidRDefault="008A3111" w:rsidP="001711C2">
      <w:r>
        <w:t>T</w:t>
      </w:r>
      <w:r w:rsidR="00795221">
        <w:t xml:space="preserve">hose high emitting sectors </w:t>
      </w:r>
      <w:r w:rsidR="00A375DC">
        <w:t>are likely to be</w:t>
      </w:r>
      <w:r>
        <w:t xml:space="preserve"> well positioned to lead by example, not only with Scope 1 and</w:t>
      </w:r>
      <w:r w:rsidR="00337A37">
        <w:t xml:space="preserve"> 2</w:t>
      </w:r>
      <w:r>
        <w:t xml:space="preserve"> but also </w:t>
      </w:r>
      <w:r w:rsidR="00337A37">
        <w:t>(</w:t>
      </w:r>
      <w:r>
        <w:t>and crucially, given their global reach</w:t>
      </w:r>
      <w:r w:rsidR="00337A37">
        <w:t>)</w:t>
      </w:r>
      <w:r>
        <w:t xml:space="preserve"> Scope 3.</w:t>
      </w:r>
    </w:p>
    <w:p w14:paraId="461CE83F" w14:textId="77777777" w:rsidR="00F373B5" w:rsidRDefault="00F373B5" w:rsidP="001711C2"/>
    <w:p w14:paraId="3B23F32B" w14:textId="77777777" w:rsidR="00F373B5" w:rsidRDefault="00F373B5" w:rsidP="001711C2"/>
    <w:p w14:paraId="5E0A94F8" w14:textId="4412A866" w:rsidR="008828D5" w:rsidRDefault="00EF67C2" w:rsidP="001711C2">
      <w:r>
        <w:t>The following charts illustrate trends DE</w:t>
      </w:r>
      <w:r w:rsidR="00584E3E">
        <w:t>SNZ</w:t>
      </w:r>
      <w:r>
        <w:t xml:space="preserve">’s estimates for London local authority areas highlighting the areas which contributed most to the estimates for </w:t>
      </w:r>
      <w:r w:rsidR="00E16C2A">
        <w:t>2023</w:t>
      </w:r>
      <w:r>
        <w:t>.</w:t>
      </w:r>
    </w:p>
    <w:p w14:paraId="676540EC" w14:textId="2A9D7193" w:rsidR="00EF67C2" w:rsidRPr="00EF67C2" w:rsidRDefault="00EF67C2" w:rsidP="001711C2">
      <w:pPr>
        <w:rPr>
          <w:i/>
          <w:iCs/>
          <w:u w:val="single"/>
        </w:rPr>
      </w:pPr>
      <w:r w:rsidRPr="00EF67C2">
        <w:rPr>
          <w:i/>
          <w:iCs/>
          <w:u w:val="single"/>
        </w:rPr>
        <w:t>Electricity – commercial</w:t>
      </w:r>
    </w:p>
    <w:p w14:paraId="311395FD" w14:textId="24487BAC" w:rsidR="00EF67C2" w:rsidRDefault="00171DF2" w:rsidP="001711C2">
      <w:r w:rsidRPr="00171DF2">
        <w:drawing>
          <wp:inline distT="0" distB="0" distL="0" distR="0" wp14:anchorId="4EE19CA2" wp14:editId="241637CD">
            <wp:extent cx="5731510" cy="3165475"/>
            <wp:effectExtent l="0" t="0" r="2540" b="0"/>
            <wp:docPr id="18172705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3EAE0D54" w14:textId="7028B9FA" w:rsidR="00153D8E" w:rsidRDefault="008828D5">
      <w:r w:rsidRPr="009C6179">
        <w:rPr>
          <w:b/>
          <w:bCs/>
        </w:rPr>
        <w:t>Remarks:</w:t>
      </w:r>
      <w:r>
        <w:t xml:space="preserve">  commercial property </w:t>
      </w:r>
      <w:r w:rsidR="0033291D">
        <w:t>contributes</w:t>
      </w:r>
      <w:r>
        <w:t xml:space="preserve"> for the great majority of emissions from electricity consumption across London</w:t>
      </w:r>
      <w:r w:rsidR="00A13679">
        <w:t xml:space="preserve"> -</w:t>
      </w:r>
      <w:r>
        <w:t xml:space="preserve"> City of London, Tower Hamlets (including Canary Wharf), and Westminster contribute most</w:t>
      </w:r>
      <w:r w:rsidR="009C6179">
        <w:t xml:space="preserve"> to the </w:t>
      </w:r>
      <w:r w:rsidR="00E16C2A">
        <w:t>2023</w:t>
      </w:r>
      <w:r w:rsidR="009C6179">
        <w:t xml:space="preserve"> total</w:t>
      </w:r>
      <w:r>
        <w:t>.</w:t>
      </w:r>
    </w:p>
    <w:p w14:paraId="4A6425A4" w14:textId="22735C71" w:rsidR="00EF67C2" w:rsidRDefault="00EF67C2">
      <w:r>
        <w:br w:type="page"/>
      </w:r>
    </w:p>
    <w:p w14:paraId="432E6851" w14:textId="5025D3D3" w:rsidR="00EF67C2" w:rsidRPr="00EF67C2" w:rsidRDefault="00EF67C2" w:rsidP="001711C2">
      <w:pPr>
        <w:rPr>
          <w:i/>
          <w:iCs/>
          <w:u w:val="single"/>
        </w:rPr>
      </w:pPr>
      <w:r w:rsidRPr="00EF67C2">
        <w:rPr>
          <w:i/>
          <w:iCs/>
          <w:u w:val="single"/>
        </w:rPr>
        <w:lastRenderedPageBreak/>
        <w:t>Electricity – public sector</w:t>
      </w:r>
    </w:p>
    <w:p w14:paraId="59D64A5C" w14:textId="23465029" w:rsidR="00EF67C2" w:rsidRDefault="00171DF2" w:rsidP="001711C2">
      <w:r w:rsidRPr="00171DF2">
        <w:drawing>
          <wp:inline distT="0" distB="0" distL="0" distR="0" wp14:anchorId="11899783" wp14:editId="2EA8F832">
            <wp:extent cx="5731510" cy="3165475"/>
            <wp:effectExtent l="0" t="0" r="2540" b="0"/>
            <wp:docPr id="91480864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37A3D674" w14:textId="3CD3DB02" w:rsidR="00EF67C2" w:rsidRDefault="008828D5" w:rsidP="001711C2">
      <w:r w:rsidRPr="009C6179">
        <w:rPr>
          <w:b/>
          <w:bCs/>
        </w:rPr>
        <w:t>Remarks:</w:t>
      </w:r>
      <w:r>
        <w:t xml:space="preserve">  Camden and Westminster </w:t>
      </w:r>
      <w:r w:rsidR="00171DF2">
        <w:t xml:space="preserve">tended to </w:t>
      </w:r>
      <w:r w:rsidR="0033291D">
        <w:t>contribute</w:t>
      </w:r>
      <w:r>
        <w:t xml:space="preserve"> most </w:t>
      </w:r>
      <w:r w:rsidR="00171DF2">
        <w:t>during the years shown</w:t>
      </w:r>
      <w:r>
        <w:t>.</w:t>
      </w:r>
    </w:p>
    <w:p w14:paraId="32A8785B" w14:textId="77777777" w:rsidR="008828D5" w:rsidRDefault="008828D5" w:rsidP="001711C2"/>
    <w:p w14:paraId="6B7887F0" w14:textId="77777777" w:rsidR="009C6179" w:rsidRDefault="009C6179" w:rsidP="001711C2"/>
    <w:p w14:paraId="039653F8" w14:textId="77777777" w:rsidR="00EF67C2" w:rsidRPr="008828D5" w:rsidRDefault="00EF67C2" w:rsidP="00EF67C2">
      <w:pPr>
        <w:rPr>
          <w:i/>
          <w:iCs/>
          <w:u w:val="single"/>
        </w:rPr>
      </w:pPr>
      <w:r w:rsidRPr="008828D5">
        <w:rPr>
          <w:i/>
          <w:iCs/>
          <w:u w:val="single"/>
        </w:rPr>
        <w:t>Electricity – domestic</w:t>
      </w:r>
    </w:p>
    <w:p w14:paraId="3920144E" w14:textId="41B11C3D" w:rsidR="00EF67C2" w:rsidRDefault="00171DF2" w:rsidP="00EF67C2">
      <w:r w:rsidRPr="00171DF2">
        <w:drawing>
          <wp:inline distT="0" distB="0" distL="0" distR="0" wp14:anchorId="241B9557" wp14:editId="5231204D">
            <wp:extent cx="5731510" cy="3165475"/>
            <wp:effectExtent l="0" t="0" r="2540" b="0"/>
            <wp:docPr id="105593138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4162BA6A" w14:textId="77777777" w:rsidR="00EF67C2" w:rsidRDefault="00EF67C2" w:rsidP="001711C2"/>
    <w:p w14:paraId="2190BB8B" w14:textId="77777777" w:rsidR="008828D5" w:rsidRDefault="008828D5">
      <w:r>
        <w:br w:type="page"/>
      </w:r>
    </w:p>
    <w:p w14:paraId="745E35AC" w14:textId="77777777" w:rsidR="008828D5" w:rsidRPr="008828D5" w:rsidRDefault="008828D5">
      <w:pPr>
        <w:rPr>
          <w:i/>
          <w:iCs/>
          <w:u w:val="single"/>
        </w:rPr>
      </w:pPr>
      <w:r w:rsidRPr="008828D5">
        <w:rPr>
          <w:i/>
          <w:iCs/>
          <w:u w:val="single"/>
        </w:rPr>
        <w:lastRenderedPageBreak/>
        <w:t>Industrial</w:t>
      </w:r>
    </w:p>
    <w:p w14:paraId="2ED986C6" w14:textId="58614868" w:rsidR="008828D5" w:rsidRDefault="0069126E">
      <w:r w:rsidRPr="0069126E">
        <w:drawing>
          <wp:inline distT="0" distB="0" distL="0" distR="0" wp14:anchorId="70BF48A4" wp14:editId="2EBB0952">
            <wp:extent cx="5731510" cy="3165475"/>
            <wp:effectExtent l="0" t="0" r="2540" b="0"/>
            <wp:docPr id="61369428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0C70788D" w14:textId="70B43BBD" w:rsidR="008828D5" w:rsidRDefault="009C6179">
      <w:r w:rsidRPr="009C6179">
        <w:rPr>
          <w:b/>
          <w:bCs/>
        </w:rPr>
        <w:t>Remarks</w:t>
      </w:r>
      <w:r>
        <w:t xml:space="preserve">:  </w:t>
      </w:r>
      <w:r w:rsidR="0069126E">
        <w:t xml:space="preserve">Camden, Newham and (surprisingly) </w:t>
      </w:r>
      <w:r w:rsidR="00E16C2A">
        <w:t>Westminster</w:t>
      </w:r>
      <w:r>
        <w:t xml:space="preserve"> contribute most of the total.</w:t>
      </w:r>
    </w:p>
    <w:p w14:paraId="1CEF6AE8" w14:textId="77777777" w:rsidR="008828D5" w:rsidRDefault="008828D5"/>
    <w:p w14:paraId="1CAF5709" w14:textId="77777777" w:rsidR="009C6179" w:rsidRDefault="009C6179">
      <w:pPr>
        <w:rPr>
          <w:i/>
          <w:iCs/>
          <w:u w:val="single"/>
        </w:rPr>
      </w:pPr>
    </w:p>
    <w:p w14:paraId="17202FB6" w14:textId="1587FADB" w:rsidR="008828D5" w:rsidRPr="008828D5" w:rsidRDefault="008828D5">
      <w:pPr>
        <w:rPr>
          <w:i/>
          <w:iCs/>
          <w:u w:val="single"/>
        </w:rPr>
      </w:pPr>
      <w:r w:rsidRPr="008828D5">
        <w:rPr>
          <w:i/>
          <w:iCs/>
          <w:u w:val="single"/>
        </w:rPr>
        <w:t>Road transport</w:t>
      </w:r>
    </w:p>
    <w:p w14:paraId="404F1AA8" w14:textId="051FB109" w:rsidR="008828D5" w:rsidRDefault="0069126E">
      <w:r w:rsidRPr="0069126E">
        <w:drawing>
          <wp:inline distT="0" distB="0" distL="0" distR="0" wp14:anchorId="2DC7B89A" wp14:editId="34A3A5E2">
            <wp:extent cx="5731510" cy="3165475"/>
            <wp:effectExtent l="0" t="0" r="2540" b="0"/>
            <wp:docPr id="25215647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49376FA1" w14:textId="41895F9E" w:rsidR="008828D5" w:rsidRDefault="009C6179">
      <w:r w:rsidRPr="009C6179">
        <w:rPr>
          <w:b/>
          <w:bCs/>
        </w:rPr>
        <w:t>Remarks:</w:t>
      </w:r>
      <w:r>
        <w:t xml:space="preserve">  the emissions of local authority areas in outer London tend to exceed those nearer the centre of London</w:t>
      </w:r>
      <w:r w:rsidR="00E05CD6">
        <w:t>.</w:t>
      </w:r>
    </w:p>
    <w:p w14:paraId="727350DE" w14:textId="4CF2450A" w:rsidR="008828D5" w:rsidRDefault="008828D5">
      <w:r>
        <w:br w:type="page"/>
      </w:r>
    </w:p>
    <w:p w14:paraId="362B8F00" w14:textId="77777777" w:rsidR="008828D5" w:rsidRPr="008828D5" w:rsidRDefault="008828D5" w:rsidP="008828D5">
      <w:pPr>
        <w:rPr>
          <w:i/>
          <w:iCs/>
          <w:u w:val="single"/>
        </w:rPr>
      </w:pPr>
      <w:r w:rsidRPr="008828D5">
        <w:rPr>
          <w:i/>
          <w:iCs/>
          <w:u w:val="single"/>
        </w:rPr>
        <w:lastRenderedPageBreak/>
        <w:t>Gas – domestic</w:t>
      </w:r>
    </w:p>
    <w:p w14:paraId="4019CEA3" w14:textId="322F4B9F" w:rsidR="008828D5" w:rsidRDefault="0069126E" w:rsidP="008828D5">
      <w:r w:rsidRPr="0069126E">
        <w:drawing>
          <wp:inline distT="0" distB="0" distL="0" distR="0" wp14:anchorId="485E53B9" wp14:editId="2ADE6E04">
            <wp:extent cx="5731510" cy="3165475"/>
            <wp:effectExtent l="0" t="0" r="2540" b="0"/>
            <wp:docPr id="173905353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391922AD" w14:textId="29DE13F7" w:rsidR="008828D5" w:rsidRDefault="008828D5" w:rsidP="008828D5">
      <w:r w:rsidRPr="009C6179">
        <w:rPr>
          <w:b/>
          <w:bCs/>
        </w:rPr>
        <w:t>Remarks:</w:t>
      </w:r>
      <w:r>
        <w:t xml:space="preserve">  </w:t>
      </w:r>
      <w:r w:rsidR="0033291D">
        <w:t>E</w:t>
      </w:r>
      <w:r>
        <w:t>missions from gas in domestic properties greatly exceeds that in commercial and public sector buildings</w:t>
      </w:r>
      <w:r w:rsidR="00A13679">
        <w:t xml:space="preserve"> - </w:t>
      </w:r>
      <w:r w:rsidR="009C6179">
        <w:t xml:space="preserve">most </w:t>
      </w:r>
      <w:r w:rsidR="0069126E">
        <w:t>occurs</w:t>
      </w:r>
      <w:r w:rsidR="009C6179">
        <w:t xml:space="preserve"> in outer London.</w:t>
      </w:r>
    </w:p>
    <w:p w14:paraId="4264C1E1" w14:textId="77777777" w:rsidR="008828D5" w:rsidRDefault="008828D5" w:rsidP="008828D5"/>
    <w:p w14:paraId="27F5F1FA" w14:textId="77777777" w:rsidR="008828D5" w:rsidRDefault="008828D5" w:rsidP="008828D5"/>
    <w:p w14:paraId="054F7C29" w14:textId="21948581" w:rsidR="008828D5" w:rsidRPr="008828D5" w:rsidRDefault="008828D5">
      <w:pPr>
        <w:rPr>
          <w:i/>
          <w:iCs/>
          <w:u w:val="single"/>
        </w:rPr>
      </w:pPr>
      <w:r w:rsidRPr="008828D5">
        <w:rPr>
          <w:i/>
          <w:iCs/>
          <w:u w:val="single"/>
        </w:rPr>
        <w:t>Gas - commercial</w:t>
      </w:r>
    </w:p>
    <w:p w14:paraId="75BFF004" w14:textId="15612A9C" w:rsidR="008828D5" w:rsidRDefault="0069126E">
      <w:r w:rsidRPr="0069126E">
        <w:drawing>
          <wp:inline distT="0" distB="0" distL="0" distR="0" wp14:anchorId="0BC27564" wp14:editId="23C69C26">
            <wp:extent cx="5731510" cy="3165475"/>
            <wp:effectExtent l="0" t="0" r="2540" b="0"/>
            <wp:docPr id="171931888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r w:rsidR="00F373B5" w:rsidRPr="00F373B5">
        <w:t xml:space="preserve"> </w:t>
      </w:r>
    </w:p>
    <w:p w14:paraId="5D60E309" w14:textId="0B6A300D" w:rsidR="008828D5" w:rsidRPr="009C6179" w:rsidRDefault="009C6179">
      <w:pPr>
        <w:rPr>
          <w:b/>
          <w:bCs/>
        </w:rPr>
      </w:pPr>
      <w:r w:rsidRPr="009C6179">
        <w:rPr>
          <w:b/>
          <w:bCs/>
        </w:rPr>
        <w:t>Remarks:</w:t>
      </w:r>
      <w:r>
        <w:t xml:space="preserve">  Use and therefore emissions have long been greater in Westminster than in any other London local authority area.</w:t>
      </w:r>
    </w:p>
    <w:p w14:paraId="59038BC2" w14:textId="0BB60C50" w:rsidR="008828D5" w:rsidRDefault="008828D5">
      <w:r>
        <w:br w:type="page"/>
      </w:r>
    </w:p>
    <w:p w14:paraId="32BDB5D9" w14:textId="77777777" w:rsidR="008828D5" w:rsidRPr="008828D5" w:rsidRDefault="008828D5">
      <w:pPr>
        <w:rPr>
          <w:i/>
          <w:iCs/>
          <w:u w:val="single"/>
        </w:rPr>
      </w:pPr>
      <w:r w:rsidRPr="008828D5">
        <w:rPr>
          <w:i/>
          <w:iCs/>
          <w:u w:val="single"/>
        </w:rPr>
        <w:lastRenderedPageBreak/>
        <w:t>Gas – public sector</w:t>
      </w:r>
    </w:p>
    <w:p w14:paraId="62031514" w14:textId="2BB7A35C" w:rsidR="008828D5" w:rsidRDefault="0069126E">
      <w:r w:rsidRPr="0069126E">
        <w:drawing>
          <wp:inline distT="0" distB="0" distL="0" distR="0" wp14:anchorId="339274C2" wp14:editId="4EF51872">
            <wp:extent cx="5731510" cy="3165475"/>
            <wp:effectExtent l="0" t="0" r="2540" b="0"/>
            <wp:docPr id="140656156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32CC6EC3" w14:textId="0EF2DBEA" w:rsidR="008828D5" w:rsidRDefault="009C6179">
      <w:r w:rsidRPr="009C6179">
        <w:rPr>
          <w:b/>
          <w:bCs/>
        </w:rPr>
        <w:t>Remarks</w:t>
      </w:r>
      <w:r>
        <w:t xml:space="preserve">:  </w:t>
      </w:r>
      <w:r w:rsidR="0069126E">
        <w:t>Em</w:t>
      </w:r>
      <w:r>
        <w:t>issions in Camden</w:t>
      </w:r>
      <w:r w:rsidR="0069126E">
        <w:t xml:space="preserve">, </w:t>
      </w:r>
      <w:r>
        <w:t xml:space="preserve">Lambeth </w:t>
      </w:r>
      <w:r w:rsidR="0069126E">
        <w:t xml:space="preserve">and Westminster have tended to </w:t>
      </w:r>
      <w:r>
        <w:t>exceed those in other London local authority areas.</w:t>
      </w:r>
    </w:p>
    <w:p w14:paraId="207FE874" w14:textId="77777777" w:rsidR="00F373B5" w:rsidRDefault="00F373B5"/>
    <w:p w14:paraId="223FDF6F" w14:textId="77777777" w:rsidR="00F373B5" w:rsidRDefault="00F373B5"/>
    <w:p w14:paraId="50B1F27E" w14:textId="29B019F8" w:rsidR="00F373B5" w:rsidRDefault="00F373B5">
      <w:r>
        <w:t xml:space="preserve">The following charts illustrate </w:t>
      </w:r>
      <w:r w:rsidR="00584E3E">
        <w:t>DESNZ</w:t>
      </w:r>
      <w:r>
        <w:t>’s estimates for each London local authority, by sector:</w:t>
      </w:r>
    </w:p>
    <w:p w14:paraId="4F9F329E" w14:textId="23D2EF89" w:rsidR="00D75583" w:rsidRPr="00A13679" w:rsidRDefault="00DB37B0">
      <w:pPr>
        <w:rPr>
          <w:i/>
          <w:iCs/>
          <w:u w:val="single"/>
        </w:rPr>
      </w:pPr>
      <w:r w:rsidRPr="00A13679">
        <w:rPr>
          <w:i/>
          <w:iCs/>
          <w:u w:val="single"/>
        </w:rPr>
        <w:t>City of London</w:t>
      </w:r>
    </w:p>
    <w:p w14:paraId="43110BF2" w14:textId="660B2F18" w:rsidR="00DB37B0" w:rsidRDefault="00B50702">
      <w:r w:rsidRPr="00B50702">
        <w:drawing>
          <wp:inline distT="0" distB="0" distL="0" distR="0" wp14:anchorId="63D0ED94" wp14:editId="1BE973C6">
            <wp:extent cx="5731510" cy="3165475"/>
            <wp:effectExtent l="0" t="0" r="2540" b="0"/>
            <wp:docPr id="4889535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3D8CD5C5" w14:textId="261FBDFD" w:rsidR="008B7EF6" w:rsidRDefault="00F373B5">
      <w:r w:rsidRPr="0018122A">
        <w:rPr>
          <w:b/>
          <w:bCs/>
        </w:rPr>
        <w:t>Remarks:</w:t>
      </w:r>
      <w:r>
        <w:t xml:space="preserve">  </w:t>
      </w:r>
      <w:r w:rsidR="00A13679">
        <w:t>P</w:t>
      </w:r>
      <w:r>
        <w:t>redominantly commercial</w:t>
      </w:r>
      <w:r w:rsidR="00110A2F">
        <w:t xml:space="preserve"> (sector showing l</w:t>
      </w:r>
      <w:r>
        <w:t>ittle progress during recent years</w:t>
      </w:r>
      <w:r w:rsidR="00110A2F">
        <w:t>)</w:t>
      </w:r>
      <w:r>
        <w:t>.</w:t>
      </w:r>
      <w:r w:rsidR="008B7EF6">
        <w:br w:type="page"/>
      </w:r>
    </w:p>
    <w:p w14:paraId="0551A498" w14:textId="2A91E34E" w:rsidR="00C62DC9" w:rsidRPr="00C62DC9" w:rsidRDefault="00C62DC9">
      <w:pPr>
        <w:rPr>
          <w:u w:val="single"/>
        </w:rPr>
      </w:pPr>
      <w:r w:rsidRPr="00C62DC9">
        <w:rPr>
          <w:u w:val="single"/>
        </w:rPr>
        <w:lastRenderedPageBreak/>
        <w:t>London Borough of Barking and Dagenham</w:t>
      </w:r>
    </w:p>
    <w:p w14:paraId="0CDE371D" w14:textId="514EBAED" w:rsidR="00C62DC9" w:rsidRDefault="00B50702">
      <w:r w:rsidRPr="00B50702">
        <w:drawing>
          <wp:inline distT="0" distB="0" distL="0" distR="0" wp14:anchorId="1C23DEFA" wp14:editId="3818F43B">
            <wp:extent cx="5731510" cy="3165475"/>
            <wp:effectExtent l="0" t="0" r="2540" b="0"/>
            <wp:docPr id="13656782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20EC0D6A" w14:textId="61127FA9" w:rsidR="00C62DC9" w:rsidRDefault="00A32064">
      <w:r w:rsidRPr="0018122A">
        <w:rPr>
          <w:b/>
          <w:bCs/>
        </w:rPr>
        <w:t>Remarks:</w:t>
      </w:r>
      <w:r>
        <w:t xml:space="preserve">  Trends </w:t>
      </w:r>
      <w:r w:rsidR="00AE25F6">
        <w:t xml:space="preserve">similar to </w:t>
      </w:r>
      <w:r>
        <w:t>other boroughs.  Predominantly domestic (mainly from gas) and road transport.</w:t>
      </w:r>
    </w:p>
    <w:p w14:paraId="0736B736" w14:textId="7BF9213E" w:rsidR="0018122A" w:rsidRDefault="0018122A"/>
    <w:p w14:paraId="233E4771" w14:textId="77777777" w:rsidR="008B7EF6" w:rsidRDefault="008B7EF6"/>
    <w:p w14:paraId="30655384" w14:textId="2C61CAB1" w:rsidR="00A32064" w:rsidRPr="00A13679" w:rsidRDefault="00A32064">
      <w:pPr>
        <w:rPr>
          <w:i/>
          <w:iCs/>
          <w:u w:val="single"/>
        </w:rPr>
      </w:pPr>
      <w:r w:rsidRPr="00A13679">
        <w:rPr>
          <w:i/>
          <w:iCs/>
          <w:u w:val="single"/>
        </w:rPr>
        <w:t>London Borough of Barnet</w:t>
      </w:r>
    </w:p>
    <w:p w14:paraId="0FEBC360" w14:textId="5F6E04AE" w:rsidR="00A32064" w:rsidRDefault="00B50702">
      <w:r w:rsidRPr="00B50702">
        <w:drawing>
          <wp:inline distT="0" distB="0" distL="0" distR="0" wp14:anchorId="5BE837D4" wp14:editId="40A6F0BB">
            <wp:extent cx="5731510" cy="3165475"/>
            <wp:effectExtent l="0" t="0" r="2540" b="0"/>
            <wp:docPr id="5395262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49B6D960" w14:textId="7A89D387" w:rsidR="008B7EF6" w:rsidRDefault="00A32064">
      <w:r w:rsidRPr="0018122A">
        <w:rPr>
          <w:b/>
          <w:bCs/>
        </w:rPr>
        <w:t>Remarks:</w:t>
      </w:r>
      <w:r>
        <w:t xml:space="preserve">  Trends </w:t>
      </w:r>
      <w:r w:rsidR="00110A2F">
        <w:t xml:space="preserve">similar to </w:t>
      </w:r>
      <w:r>
        <w:t>other boroughs.  Predominantly domestic (mainly from gas) and road transport.</w:t>
      </w:r>
    </w:p>
    <w:p w14:paraId="33B651C4" w14:textId="77777777" w:rsidR="008B7EF6" w:rsidRDefault="008B7EF6">
      <w:r>
        <w:br w:type="page"/>
      </w:r>
    </w:p>
    <w:p w14:paraId="1FE7D75C" w14:textId="135AC9D2" w:rsidR="00A32064" w:rsidRPr="00A13679" w:rsidRDefault="00A32064">
      <w:pPr>
        <w:rPr>
          <w:i/>
          <w:iCs/>
          <w:u w:val="single"/>
        </w:rPr>
      </w:pPr>
      <w:r w:rsidRPr="00A13679">
        <w:rPr>
          <w:i/>
          <w:iCs/>
          <w:u w:val="single"/>
        </w:rPr>
        <w:lastRenderedPageBreak/>
        <w:t>London Borough of Bexley</w:t>
      </w:r>
    </w:p>
    <w:p w14:paraId="451103A3" w14:textId="1213B4C0" w:rsidR="00A32064" w:rsidRDefault="00B50702">
      <w:r w:rsidRPr="00B50702">
        <w:drawing>
          <wp:inline distT="0" distB="0" distL="0" distR="0" wp14:anchorId="6128526B" wp14:editId="01CF8AFD">
            <wp:extent cx="5731510" cy="3165475"/>
            <wp:effectExtent l="0" t="0" r="2540" b="0"/>
            <wp:docPr id="14784757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3BF93633" w14:textId="31EA3C8A" w:rsidR="00A32064" w:rsidRDefault="00A32064" w:rsidP="00A32064">
      <w:r w:rsidRPr="0018122A">
        <w:rPr>
          <w:b/>
          <w:bCs/>
        </w:rPr>
        <w:t>Remarks:</w:t>
      </w:r>
      <w:r>
        <w:t xml:space="preserve">  Trends </w:t>
      </w:r>
      <w:r w:rsidR="00110A2F">
        <w:t xml:space="preserve">similar to </w:t>
      </w:r>
      <w:r>
        <w:t>other boroughs.  Primarily domestic (mainly from gas) and road transport.  Emissions from industry prominent (mainly from gas).</w:t>
      </w:r>
    </w:p>
    <w:p w14:paraId="5FB6F236" w14:textId="77777777" w:rsidR="008B7EF6" w:rsidRDefault="008B7EF6"/>
    <w:p w14:paraId="55298E04" w14:textId="77777777" w:rsidR="008B7EF6" w:rsidRDefault="008B7EF6"/>
    <w:p w14:paraId="683454A3" w14:textId="77777777" w:rsidR="00A32064" w:rsidRPr="00A13679" w:rsidRDefault="00A32064" w:rsidP="00A32064">
      <w:pPr>
        <w:rPr>
          <w:i/>
          <w:iCs/>
          <w:u w:val="single"/>
        </w:rPr>
      </w:pPr>
      <w:r w:rsidRPr="00A13679">
        <w:rPr>
          <w:i/>
          <w:iCs/>
          <w:u w:val="single"/>
        </w:rPr>
        <w:t>London Borough of Brent</w:t>
      </w:r>
    </w:p>
    <w:p w14:paraId="3A9FE2A8" w14:textId="67117B9E" w:rsidR="00A32064" w:rsidRDefault="00B50702" w:rsidP="00A32064">
      <w:r w:rsidRPr="00B50702">
        <w:drawing>
          <wp:inline distT="0" distB="0" distL="0" distR="0" wp14:anchorId="6535448E" wp14:editId="179C6D15">
            <wp:extent cx="5731510" cy="3165475"/>
            <wp:effectExtent l="0" t="0" r="2540" b="0"/>
            <wp:docPr id="14630783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488F070E" w14:textId="68704950" w:rsidR="008B7EF6" w:rsidRDefault="00A32064">
      <w:r w:rsidRPr="0018122A">
        <w:rPr>
          <w:b/>
          <w:bCs/>
        </w:rPr>
        <w:t>Remarks:</w:t>
      </w:r>
      <w:r>
        <w:t xml:space="preserve">  Trends </w:t>
      </w:r>
      <w:r w:rsidR="00110A2F">
        <w:t xml:space="preserve">similar to </w:t>
      </w:r>
      <w:r>
        <w:t xml:space="preserve">other boroughs (but with a surge in emissions attributable to electricity during 2012 and 2013.  Primarily domestic </w:t>
      </w:r>
      <w:r w:rsidR="00AE25F6">
        <w:t xml:space="preserve">(from gas) </w:t>
      </w:r>
      <w:r>
        <w:t>and road transport</w:t>
      </w:r>
      <w:r w:rsidR="00AE25F6">
        <w:t>.</w:t>
      </w:r>
      <w:r>
        <w:t xml:space="preserve">  Significant industrial sector.</w:t>
      </w:r>
      <w:r w:rsidR="008B7EF6">
        <w:br w:type="page"/>
      </w:r>
    </w:p>
    <w:p w14:paraId="2CEDDE66" w14:textId="2100E63E" w:rsidR="00A32064" w:rsidRPr="00A13679" w:rsidRDefault="00A32064">
      <w:pPr>
        <w:rPr>
          <w:i/>
          <w:iCs/>
          <w:u w:val="single"/>
        </w:rPr>
      </w:pPr>
      <w:r w:rsidRPr="00A13679">
        <w:rPr>
          <w:i/>
          <w:iCs/>
          <w:u w:val="single"/>
        </w:rPr>
        <w:lastRenderedPageBreak/>
        <w:t>London Borough of Bromley</w:t>
      </w:r>
    </w:p>
    <w:p w14:paraId="7853CF11" w14:textId="67AF5664" w:rsidR="00A32064" w:rsidRDefault="00B50702">
      <w:r w:rsidRPr="00B50702">
        <w:drawing>
          <wp:inline distT="0" distB="0" distL="0" distR="0" wp14:anchorId="20D282A4" wp14:editId="17851625">
            <wp:extent cx="5731510" cy="3165475"/>
            <wp:effectExtent l="0" t="0" r="2540" b="0"/>
            <wp:docPr id="20434169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0F517A8B" w14:textId="128DC610" w:rsidR="008B7EF6" w:rsidRDefault="00A32064">
      <w:r w:rsidRPr="0018122A">
        <w:rPr>
          <w:b/>
          <w:bCs/>
        </w:rPr>
        <w:t>Remarks:</w:t>
      </w:r>
      <w:r>
        <w:t xml:space="preserve">  Trends </w:t>
      </w:r>
      <w:r w:rsidR="00110A2F">
        <w:t xml:space="preserve">to </w:t>
      </w:r>
      <w:r>
        <w:t>other boroughs.  Predominantly domestic (mainly from gas) and road transport.</w:t>
      </w:r>
    </w:p>
    <w:p w14:paraId="27608E7E" w14:textId="43D6E1B1" w:rsidR="0018122A" w:rsidRDefault="0018122A"/>
    <w:p w14:paraId="148E211E" w14:textId="77777777" w:rsidR="008B7EF6" w:rsidRDefault="008B7EF6"/>
    <w:p w14:paraId="47998204" w14:textId="77777777" w:rsidR="00F13568" w:rsidRPr="00A13679" w:rsidRDefault="00F13568" w:rsidP="00F13568">
      <w:pPr>
        <w:rPr>
          <w:i/>
          <w:iCs/>
          <w:u w:val="single"/>
        </w:rPr>
      </w:pPr>
      <w:r w:rsidRPr="00A13679">
        <w:rPr>
          <w:i/>
          <w:iCs/>
          <w:u w:val="single"/>
        </w:rPr>
        <w:t>London Borough of Camden</w:t>
      </w:r>
    </w:p>
    <w:p w14:paraId="671DBE00" w14:textId="44A38BC6" w:rsidR="00F13568" w:rsidRDefault="00B50702" w:rsidP="00F13568">
      <w:r w:rsidRPr="00B50702">
        <w:drawing>
          <wp:inline distT="0" distB="0" distL="0" distR="0" wp14:anchorId="7000440D" wp14:editId="09C423F1">
            <wp:extent cx="5731510" cy="3165475"/>
            <wp:effectExtent l="0" t="0" r="2540" b="0"/>
            <wp:docPr id="10827848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7B0EEB13" w14:textId="0E6996F5" w:rsidR="008B7EF6" w:rsidRDefault="00F13568" w:rsidP="00F13568">
      <w:r w:rsidRPr="0018122A">
        <w:rPr>
          <w:b/>
          <w:bCs/>
        </w:rPr>
        <w:t>Remarks:</w:t>
      </w:r>
      <w:r>
        <w:t xml:space="preserve">  </w:t>
      </w:r>
      <w:r w:rsidR="0085091B">
        <w:t xml:space="preserve">Trends </w:t>
      </w:r>
      <w:r w:rsidR="00110A2F">
        <w:t xml:space="preserve">similar to </w:t>
      </w:r>
      <w:r w:rsidR="0085091B">
        <w:t xml:space="preserve">other boroughs.  </w:t>
      </w:r>
      <w:r>
        <w:t>Primarily commercial and domestic</w:t>
      </w:r>
      <w:r w:rsidR="0085091B">
        <w:t xml:space="preserve"> (mainly from gas)</w:t>
      </w:r>
      <w:r>
        <w:t>.  Prominent public sector.</w:t>
      </w:r>
    </w:p>
    <w:p w14:paraId="0C9EF179" w14:textId="77777777" w:rsidR="008B7EF6" w:rsidRDefault="008B7EF6">
      <w:r>
        <w:br w:type="page"/>
      </w:r>
    </w:p>
    <w:p w14:paraId="72214533" w14:textId="4CCE632C" w:rsidR="00C674E5" w:rsidRPr="00A13679" w:rsidRDefault="00C674E5">
      <w:pPr>
        <w:rPr>
          <w:i/>
          <w:iCs/>
          <w:u w:val="single"/>
        </w:rPr>
      </w:pPr>
      <w:r w:rsidRPr="00A13679">
        <w:rPr>
          <w:i/>
          <w:iCs/>
          <w:u w:val="single"/>
        </w:rPr>
        <w:lastRenderedPageBreak/>
        <w:t>London Borough of Croydon</w:t>
      </w:r>
    </w:p>
    <w:p w14:paraId="28C01C4E" w14:textId="48253589" w:rsidR="00C674E5" w:rsidRDefault="00B50702">
      <w:r w:rsidRPr="00B50702">
        <w:drawing>
          <wp:inline distT="0" distB="0" distL="0" distR="0" wp14:anchorId="50F067C6" wp14:editId="68F7133A">
            <wp:extent cx="5731510" cy="3165475"/>
            <wp:effectExtent l="0" t="0" r="2540" b="0"/>
            <wp:docPr id="77289740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3DA343AA" w14:textId="6ECF6FB2" w:rsidR="0018122A" w:rsidRDefault="00C674E5">
      <w:r w:rsidRPr="0018122A">
        <w:rPr>
          <w:b/>
          <w:bCs/>
        </w:rPr>
        <w:t>Remarks:</w:t>
      </w:r>
      <w:r>
        <w:t xml:space="preserve">  Trends similar to other boroughs.  Primarily domestic (especially as gas) and road transport.</w:t>
      </w:r>
    </w:p>
    <w:p w14:paraId="1C056733" w14:textId="77777777" w:rsidR="008B7EF6" w:rsidRDefault="008B7EF6"/>
    <w:p w14:paraId="3758D21D" w14:textId="77777777" w:rsidR="00110A2F" w:rsidRDefault="00110A2F"/>
    <w:p w14:paraId="1F41A21D" w14:textId="4FD21799" w:rsidR="00110A2F" w:rsidRPr="00A13679" w:rsidRDefault="00110A2F" w:rsidP="00110A2F">
      <w:pPr>
        <w:rPr>
          <w:i/>
          <w:iCs/>
          <w:u w:val="single"/>
        </w:rPr>
      </w:pPr>
      <w:r w:rsidRPr="00A13679">
        <w:rPr>
          <w:i/>
          <w:iCs/>
          <w:u w:val="single"/>
        </w:rPr>
        <w:t xml:space="preserve">London Borough of </w:t>
      </w:r>
      <w:r>
        <w:rPr>
          <w:i/>
          <w:iCs/>
          <w:u w:val="single"/>
        </w:rPr>
        <w:t>Ealing</w:t>
      </w:r>
    </w:p>
    <w:p w14:paraId="512ADC99" w14:textId="7DBDF247" w:rsidR="008B7EF6" w:rsidRDefault="00B50702">
      <w:r w:rsidRPr="00B50702">
        <w:drawing>
          <wp:inline distT="0" distB="0" distL="0" distR="0" wp14:anchorId="04332796" wp14:editId="06D10849">
            <wp:extent cx="5731510" cy="3165475"/>
            <wp:effectExtent l="0" t="0" r="2540" b="0"/>
            <wp:docPr id="6371864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01EBBC96" w14:textId="122536AB" w:rsidR="00B4224C" w:rsidRDefault="00B4224C" w:rsidP="00B4224C">
      <w:r w:rsidRPr="0018122A">
        <w:rPr>
          <w:b/>
          <w:bCs/>
        </w:rPr>
        <w:t>Remarks:</w:t>
      </w:r>
      <w:r w:rsidRPr="00F13568">
        <w:t xml:space="preserve">  Trends similar to other boroughs.</w:t>
      </w:r>
      <w:r>
        <w:t xml:space="preserve">  Primarily domestic (especially from gas) and road transport.  Substantial proportion from industrial sector.</w:t>
      </w:r>
    </w:p>
    <w:p w14:paraId="31D98C65" w14:textId="2B0CC588" w:rsidR="00B4224C" w:rsidRDefault="00B4224C">
      <w:pPr>
        <w:rPr>
          <w:i/>
          <w:iCs/>
          <w:u w:val="single"/>
        </w:rPr>
      </w:pPr>
      <w:r>
        <w:rPr>
          <w:i/>
          <w:iCs/>
          <w:u w:val="single"/>
        </w:rPr>
        <w:br w:type="page"/>
      </w:r>
    </w:p>
    <w:p w14:paraId="0544949A" w14:textId="69D82E53" w:rsidR="00B4224C" w:rsidRDefault="00B4224C" w:rsidP="008B7EF6">
      <w:pPr>
        <w:rPr>
          <w:i/>
          <w:iCs/>
          <w:u w:val="single"/>
        </w:rPr>
      </w:pPr>
      <w:r>
        <w:rPr>
          <w:i/>
          <w:iCs/>
          <w:u w:val="single"/>
        </w:rPr>
        <w:lastRenderedPageBreak/>
        <w:t>London Borough of Enfield</w:t>
      </w:r>
    </w:p>
    <w:p w14:paraId="7801918C" w14:textId="4B4B2588" w:rsidR="00B4224C" w:rsidRDefault="00B50702" w:rsidP="008B7EF6">
      <w:pPr>
        <w:rPr>
          <w:b/>
          <w:bCs/>
          <w:i/>
          <w:iCs/>
        </w:rPr>
      </w:pPr>
      <w:r w:rsidRPr="00B50702">
        <w:drawing>
          <wp:inline distT="0" distB="0" distL="0" distR="0" wp14:anchorId="55729477" wp14:editId="1B87FEEA">
            <wp:extent cx="5731510" cy="3165475"/>
            <wp:effectExtent l="0" t="0" r="2540" b="0"/>
            <wp:docPr id="191908829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6D25C849" w14:textId="51226709" w:rsidR="00B4224C" w:rsidRPr="00B4224C" w:rsidRDefault="00B4224C" w:rsidP="008B7EF6">
      <w:pPr>
        <w:rPr>
          <w:b/>
          <w:bCs/>
          <w:i/>
          <w:iCs/>
        </w:rPr>
      </w:pPr>
      <w:r w:rsidRPr="0018122A">
        <w:rPr>
          <w:b/>
          <w:bCs/>
        </w:rPr>
        <w:t>Remarks:</w:t>
      </w:r>
      <w:r w:rsidRPr="00F13568">
        <w:t xml:space="preserve">  Trends similar to other boroughs.</w:t>
      </w:r>
      <w:r>
        <w:t xml:space="preserve">  Primarily domestic (especially from gas) and road transport.</w:t>
      </w:r>
    </w:p>
    <w:p w14:paraId="40E6A004" w14:textId="77777777" w:rsidR="00B4224C" w:rsidRPr="00B4224C" w:rsidRDefault="00B4224C" w:rsidP="008B7EF6">
      <w:pPr>
        <w:rPr>
          <w:u w:val="single"/>
        </w:rPr>
      </w:pPr>
    </w:p>
    <w:p w14:paraId="7E499043" w14:textId="77777777" w:rsidR="00B4224C" w:rsidRPr="00B4224C" w:rsidRDefault="00B4224C" w:rsidP="008B7EF6">
      <w:pPr>
        <w:rPr>
          <w:u w:val="single"/>
        </w:rPr>
      </w:pPr>
    </w:p>
    <w:p w14:paraId="17549D3E" w14:textId="257627EE" w:rsidR="008B7EF6" w:rsidRPr="00A13679" w:rsidRDefault="008B7EF6" w:rsidP="008B7EF6">
      <w:pPr>
        <w:rPr>
          <w:i/>
          <w:iCs/>
          <w:u w:val="single"/>
        </w:rPr>
      </w:pPr>
      <w:r w:rsidRPr="00A13679">
        <w:rPr>
          <w:i/>
          <w:iCs/>
          <w:u w:val="single"/>
        </w:rPr>
        <w:t>Royal Borough of Greenwich</w:t>
      </w:r>
    </w:p>
    <w:p w14:paraId="242115FD" w14:textId="474A0A55" w:rsidR="008B7EF6" w:rsidRDefault="00B50702" w:rsidP="008B7EF6">
      <w:pPr>
        <w:rPr>
          <w:u w:val="single"/>
        </w:rPr>
      </w:pPr>
      <w:r w:rsidRPr="00B50702">
        <w:drawing>
          <wp:inline distT="0" distB="0" distL="0" distR="0" wp14:anchorId="6AEE7B83" wp14:editId="5BEDA7C5">
            <wp:extent cx="5731510" cy="3165475"/>
            <wp:effectExtent l="0" t="0" r="2540" b="0"/>
            <wp:docPr id="165355313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245542CF" w14:textId="4E25F64E" w:rsidR="008B7EF6" w:rsidRDefault="008B7EF6" w:rsidP="008B7EF6">
      <w:r w:rsidRPr="0018122A">
        <w:rPr>
          <w:b/>
          <w:bCs/>
        </w:rPr>
        <w:t>Remarks:</w:t>
      </w:r>
      <w:r w:rsidRPr="00F13568">
        <w:t xml:space="preserve">  Trends similar to other boroughs.</w:t>
      </w:r>
      <w:r>
        <w:t xml:space="preserve">  Primarily domestic (especially from gas) and road transport.</w:t>
      </w:r>
    </w:p>
    <w:p w14:paraId="75F0C601" w14:textId="77777777" w:rsidR="008B7EF6" w:rsidRDefault="008B7EF6" w:rsidP="008B7EF6">
      <w:r>
        <w:br w:type="page"/>
      </w:r>
    </w:p>
    <w:p w14:paraId="60BC5396" w14:textId="07DAF156" w:rsidR="00C674E5" w:rsidRPr="00A13679" w:rsidRDefault="00C674E5">
      <w:pPr>
        <w:rPr>
          <w:i/>
          <w:iCs/>
          <w:u w:val="single"/>
        </w:rPr>
      </w:pPr>
      <w:r w:rsidRPr="00A13679">
        <w:rPr>
          <w:i/>
          <w:iCs/>
          <w:u w:val="single"/>
        </w:rPr>
        <w:lastRenderedPageBreak/>
        <w:t>London Borough of Hackney</w:t>
      </w:r>
    </w:p>
    <w:p w14:paraId="1D345E20" w14:textId="6F95A6C8" w:rsidR="00C674E5" w:rsidRDefault="00B50702">
      <w:r w:rsidRPr="00B50702">
        <w:drawing>
          <wp:inline distT="0" distB="0" distL="0" distR="0" wp14:anchorId="56851C24" wp14:editId="0E3A59DA">
            <wp:extent cx="5731510" cy="3165475"/>
            <wp:effectExtent l="0" t="0" r="2540" b="0"/>
            <wp:docPr id="7855114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r w:rsidR="00C674E5" w:rsidRPr="0018122A">
        <w:rPr>
          <w:b/>
          <w:bCs/>
        </w:rPr>
        <w:t>Remarks:</w:t>
      </w:r>
      <w:r w:rsidR="00C674E5">
        <w:t xml:space="preserve">  Trends </w:t>
      </w:r>
      <w:r w:rsidR="00110A2F">
        <w:t xml:space="preserve">similar to other </w:t>
      </w:r>
      <w:r w:rsidR="00C674E5">
        <w:t>boroughs.  Primarily domestic (especially as</w:t>
      </w:r>
      <w:r w:rsidR="00D0523C">
        <w:t xml:space="preserve"> </w:t>
      </w:r>
      <w:r w:rsidR="00C674E5">
        <w:t>gas)</w:t>
      </w:r>
      <w:r w:rsidR="00D0523C">
        <w:t>.</w:t>
      </w:r>
    </w:p>
    <w:p w14:paraId="47F5D983" w14:textId="77777777" w:rsidR="0018122A" w:rsidRDefault="0018122A"/>
    <w:p w14:paraId="2682DDA1" w14:textId="152A6B8F" w:rsidR="0085091B" w:rsidRDefault="0085091B"/>
    <w:p w14:paraId="417BADD9" w14:textId="69618ED0" w:rsidR="00B4224C" w:rsidRPr="00A13679" w:rsidRDefault="00B4224C" w:rsidP="00B4224C">
      <w:pPr>
        <w:rPr>
          <w:i/>
          <w:iCs/>
          <w:u w:val="single"/>
        </w:rPr>
      </w:pPr>
      <w:r w:rsidRPr="00A13679">
        <w:rPr>
          <w:i/>
          <w:iCs/>
          <w:u w:val="single"/>
        </w:rPr>
        <w:t>London Borough of Ha</w:t>
      </w:r>
      <w:r>
        <w:rPr>
          <w:i/>
          <w:iCs/>
          <w:u w:val="single"/>
        </w:rPr>
        <w:t>mmersmith</w:t>
      </w:r>
    </w:p>
    <w:p w14:paraId="42B2B367" w14:textId="177D2B87" w:rsidR="00B4224C" w:rsidRDefault="00121F29">
      <w:r w:rsidRPr="00121F29">
        <w:drawing>
          <wp:inline distT="0" distB="0" distL="0" distR="0" wp14:anchorId="0C6647C8" wp14:editId="24D1963B">
            <wp:extent cx="5731510" cy="3165475"/>
            <wp:effectExtent l="0" t="0" r="2540" b="0"/>
            <wp:docPr id="64744226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7A157162" w14:textId="77777777" w:rsidR="00B4224C" w:rsidRDefault="00B4224C" w:rsidP="00B4224C">
      <w:r w:rsidRPr="0018122A">
        <w:rPr>
          <w:b/>
          <w:bCs/>
        </w:rPr>
        <w:t>Remarks:</w:t>
      </w:r>
      <w:r>
        <w:t xml:space="preserve">  Trends similar to other boroughs.  Primarily domestic (especially as gas).</w:t>
      </w:r>
    </w:p>
    <w:p w14:paraId="28BA3209" w14:textId="0A1E39E5" w:rsidR="00B4224C" w:rsidRDefault="00B4224C">
      <w:r>
        <w:br w:type="page"/>
      </w:r>
    </w:p>
    <w:p w14:paraId="2D3CF0DA" w14:textId="43E1AD5F" w:rsidR="0085091B" w:rsidRPr="00A13679" w:rsidRDefault="0085091B">
      <w:pPr>
        <w:rPr>
          <w:i/>
          <w:iCs/>
          <w:u w:val="single"/>
        </w:rPr>
      </w:pPr>
      <w:r w:rsidRPr="00A13679">
        <w:rPr>
          <w:i/>
          <w:iCs/>
          <w:u w:val="single"/>
        </w:rPr>
        <w:lastRenderedPageBreak/>
        <w:t xml:space="preserve">London Borough of </w:t>
      </w:r>
      <w:proofErr w:type="spellStart"/>
      <w:r w:rsidRPr="00A13679">
        <w:rPr>
          <w:i/>
          <w:iCs/>
          <w:u w:val="single"/>
        </w:rPr>
        <w:t>Harringey</w:t>
      </w:r>
      <w:proofErr w:type="spellEnd"/>
    </w:p>
    <w:p w14:paraId="7444AB31" w14:textId="39728179" w:rsidR="0085091B" w:rsidRDefault="00121F29">
      <w:r w:rsidRPr="00121F29">
        <w:drawing>
          <wp:inline distT="0" distB="0" distL="0" distR="0" wp14:anchorId="14931AB1" wp14:editId="343391F0">
            <wp:extent cx="5731510" cy="3165475"/>
            <wp:effectExtent l="0" t="0" r="2540" b="0"/>
            <wp:docPr id="3674958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7F7D0B61" w14:textId="27B72D30" w:rsidR="0085091B" w:rsidRDefault="0085091B" w:rsidP="0085091B">
      <w:r w:rsidRPr="0018122A">
        <w:rPr>
          <w:b/>
          <w:bCs/>
        </w:rPr>
        <w:t>Remarks:</w:t>
      </w:r>
      <w:r>
        <w:t xml:space="preserve">  Trends </w:t>
      </w:r>
      <w:r w:rsidR="00110A2F">
        <w:t xml:space="preserve">similar to other </w:t>
      </w:r>
      <w:r>
        <w:t>boroughs.  Primarily domestic (especially as gas).</w:t>
      </w:r>
    </w:p>
    <w:p w14:paraId="42178518" w14:textId="77777777" w:rsidR="00504A63" w:rsidRDefault="00504A63"/>
    <w:p w14:paraId="5AA7F98A" w14:textId="77777777" w:rsidR="00504A63" w:rsidRDefault="00504A63"/>
    <w:p w14:paraId="638FA525" w14:textId="38D02688" w:rsidR="0085091B" w:rsidRPr="00A13679" w:rsidRDefault="0085091B">
      <w:pPr>
        <w:rPr>
          <w:i/>
          <w:iCs/>
          <w:u w:val="single"/>
        </w:rPr>
      </w:pPr>
      <w:r w:rsidRPr="00A13679">
        <w:rPr>
          <w:i/>
          <w:iCs/>
          <w:u w:val="single"/>
        </w:rPr>
        <w:t>London Borough of Harrow</w:t>
      </w:r>
    </w:p>
    <w:p w14:paraId="3AC59A9A" w14:textId="18E7F4FB" w:rsidR="0085091B" w:rsidRDefault="00121F29" w:rsidP="0085091B">
      <w:r w:rsidRPr="00121F29">
        <w:drawing>
          <wp:inline distT="0" distB="0" distL="0" distR="0" wp14:anchorId="36BD4D5D" wp14:editId="74732670">
            <wp:extent cx="5731510" cy="3165475"/>
            <wp:effectExtent l="0" t="0" r="2540" b="0"/>
            <wp:docPr id="196980598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r w:rsidR="0085091B">
        <w:t xml:space="preserve"> </w:t>
      </w:r>
      <w:r w:rsidR="0085091B" w:rsidRPr="0018122A">
        <w:rPr>
          <w:b/>
          <w:bCs/>
        </w:rPr>
        <w:t>Remarks:</w:t>
      </w:r>
      <w:r w:rsidR="0085091B">
        <w:t xml:space="preserve">  Trends </w:t>
      </w:r>
      <w:r w:rsidR="00110A2F">
        <w:t xml:space="preserve">similar to other </w:t>
      </w:r>
      <w:r w:rsidR="0085091B">
        <w:t>boroughs (</w:t>
      </w:r>
      <w:r w:rsidR="00110A2F">
        <w:t xml:space="preserve">except </w:t>
      </w:r>
      <w:r w:rsidR="0085091B">
        <w:t>road transport</w:t>
      </w:r>
      <w:r w:rsidR="00110A2F">
        <w:t xml:space="preserve"> -</w:t>
      </w:r>
      <w:r w:rsidR="0085091B">
        <w:t xml:space="preserve"> not declining).  Primarily road transport and domestic (the latter mainly from gas).</w:t>
      </w:r>
    </w:p>
    <w:p w14:paraId="652C0652" w14:textId="672ECCD7" w:rsidR="00504A63" w:rsidRDefault="00504A63">
      <w:r>
        <w:br w:type="page"/>
      </w:r>
    </w:p>
    <w:p w14:paraId="1C00D66D" w14:textId="00C53DA7" w:rsidR="00504A63" w:rsidRPr="00504A63" w:rsidRDefault="00504A63">
      <w:pPr>
        <w:rPr>
          <w:i/>
          <w:iCs/>
        </w:rPr>
      </w:pPr>
      <w:r w:rsidRPr="00504A63">
        <w:rPr>
          <w:i/>
          <w:iCs/>
        </w:rPr>
        <w:lastRenderedPageBreak/>
        <w:t>London Borough of Havering</w:t>
      </w:r>
    </w:p>
    <w:p w14:paraId="4BD604CC" w14:textId="5BCFDAF8" w:rsidR="00504A63" w:rsidRDefault="00121F29">
      <w:r w:rsidRPr="00121F29">
        <w:drawing>
          <wp:inline distT="0" distB="0" distL="0" distR="0" wp14:anchorId="0E020BE9" wp14:editId="0D1DB6BA">
            <wp:extent cx="5731510" cy="3165475"/>
            <wp:effectExtent l="0" t="0" r="2540" b="0"/>
            <wp:docPr id="149138747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74AC6546" w14:textId="0AF55A0E" w:rsidR="00504A63" w:rsidRDefault="00504A63" w:rsidP="00504A63">
      <w:r w:rsidRPr="0018122A">
        <w:rPr>
          <w:b/>
          <w:bCs/>
        </w:rPr>
        <w:t>Remarks:</w:t>
      </w:r>
      <w:r>
        <w:t xml:space="preserve">  Trends similar to other boroughs.  Primarily domestic (especially as gas) and road transport.</w:t>
      </w:r>
    </w:p>
    <w:p w14:paraId="407977D6" w14:textId="77777777" w:rsidR="00504A63" w:rsidRDefault="00504A63" w:rsidP="00504A63"/>
    <w:p w14:paraId="662775B2" w14:textId="77777777" w:rsidR="00504A63" w:rsidRDefault="00504A63" w:rsidP="00504A63"/>
    <w:p w14:paraId="3306B12F" w14:textId="77777777" w:rsidR="00D0523C" w:rsidRPr="00A13679" w:rsidRDefault="00D0523C">
      <w:pPr>
        <w:rPr>
          <w:i/>
          <w:iCs/>
        </w:rPr>
      </w:pPr>
      <w:r w:rsidRPr="00A13679">
        <w:rPr>
          <w:i/>
          <w:iCs/>
          <w:u w:val="single"/>
        </w:rPr>
        <w:t>London Borough of Hillingdon</w:t>
      </w:r>
    </w:p>
    <w:p w14:paraId="71E295B3" w14:textId="2D369509" w:rsidR="00D0523C" w:rsidRPr="00D0523C" w:rsidRDefault="00121F29">
      <w:r w:rsidRPr="00121F29">
        <w:drawing>
          <wp:inline distT="0" distB="0" distL="0" distR="0" wp14:anchorId="352D428B" wp14:editId="7F8505A5">
            <wp:extent cx="5731510" cy="3165475"/>
            <wp:effectExtent l="0" t="0" r="2540" b="0"/>
            <wp:docPr id="23780347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3D4EE9A2" w14:textId="1EA735F5" w:rsidR="00D0523C" w:rsidRPr="00D0523C" w:rsidRDefault="00D0523C">
      <w:r w:rsidRPr="0018122A">
        <w:rPr>
          <w:b/>
          <w:bCs/>
        </w:rPr>
        <w:t>Remarks:</w:t>
      </w:r>
      <w:r>
        <w:t xml:space="preserve">  Trends </w:t>
      </w:r>
      <w:r w:rsidR="00110A2F">
        <w:t xml:space="preserve">similar to other </w:t>
      </w:r>
      <w:r>
        <w:t>boroughs.  Primarily domestic.  Might exclude emissions associated with Heathrow airport – especially Scope 3.</w:t>
      </w:r>
    </w:p>
    <w:p w14:paraId="353B9609" w14:textId="5DF0C646" w:rsidR="0018122A" w:rsidRDefault="0018122A">
      <w:r>
        <w:br w:type="page"/>
      </w:r>
    </w:p>
    <w:p w14:paraId="0F2CABAB" w14:textId="77777777" w:rsidR="00D0523C" w:rsidRPr="00A13679" w:rsidRDefault="00D0523C">
      <w:pPr>
        <w:rPr>
          <w:i/>
          <w:iCs/>
          <w:u w:val="single"/>
        </w:rPr>
      </w:pPr>
      <w:r w:rsidRPr="00A13679">
        <w:rPr>
          <w:i/>
          <w:iCs/>
          <w:u w:val="single"/>
        </w:rPr>
        <w:lastRenderedPageBreak/>
        <w:t>London Borough of Hounslow</w:t>
      </w:r>
    </w:p>
    <w:p w14:paraId="22CCDC95" w14:textId="05C62785" w:rsidR="00D0523C" w:rsidRDefault="00121F29">
      <w:pPr>
        <w:rPr>
          <w:u w:val="single"/>
        </w:rPr>
      </w:pPr>
      <w:r w:rsidRPr="00121F29">
        <w:drawing>
          <wp:inline distT="0" distB="0" distL="0" distR="0" wp14:anchorId="1428BA77" wp14:editId="43852642">
            <wp:extent cx="5731510" cy="3165475"/>
            <wp:effectExtent l="0" t="0" r="2540" b="0"/>
            <wp:docPr id="188624039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73B79202" w14:textId="5E18F3B8" w:rsidR="00D0523C" w:rsidRPr="00D0523C" w:rsidRDefault="00D0523C">
      <w:r w:rsidRPr="0018122A">
        <w:rPr>
          <w:b/>
          <w:bCs/>
        </w:rPr>
        <w:t>Remarks:</w:t>
      </w:r>
      <w:r w:rsidRPr="00D0523C">
        <w:t xml:space="preserve">  Trends </w:t>
      </w:r>
      <w:r w:rsidR="00110A2F">
        <w:t>similar to other</w:t>
      </w:r>
      <w:r w:rsidRPr="00D0523C">
        <w:t xml:space="preserve"> boroughs.  Primarily road transport (and domestic, especially from gas)</w:t>
      </w:r>
      <w:r>
        <w:t>.</w:t>
      </w:r>
    </w:p>
    <w:p w14:paraId="2F877044" w14:textId="77777777" w:rsidR="0018122A" w:rsidRDefault="0018122A">
      <w:pPr>
        <w:rPr>
          <w:u w:val="single"/>
        </w:rPr>
      </w:pPr>
    </w:p>
    <w:p w14:paraId="39AD7E94" w14:textId="77777777" w:rsidR="0018122A" w:rsidRDefault="0018122A">
      <w:pPr>
        <w:rPr>
          <w:u w:val="single"/>
        </w:rPr>
      </w:pPr>
    </w:p>
    <w:p w14:paraId="2C6F7B72" w14:textId="77777777" w:rsidR="00D0523C" w:rsidRPr="00A13679" w:rsidRDefault="00D0523C">
      <w:pPr>
        <w:rPr>
          <w:i/>
          <w:iCs/>
          <w:u w:val="single"/>
        </w:rPr>
      </w:pPr>
      <w:r w:rsidRPr="00A13679">
        <w:rPr>
          <w:i/>
          <w:iCs/>
          <w:u w:val="single"/>
        </w:rPr>
        <w:t>London Borough of Islington</w:t>
      </w:r>
    </w:p>
    <w:p w14:paraId="5B48A67C" w14:textId="7A48F1F8" w:rsidR="00D0523C" w:rsidRDefault="00121F29">
      <w:pPr>
        <w:rPr>
          <w:u w:val="single"/>
        </w:rPr>
      </w:pPr>
      <w:r w:rsidRPr="00121F29">
        <w:drawing>
          <wp:inline distT="0" distB="0" distL="0" distR="0" wp14:anchorId="7E12C3B8" wp14:editId="26182894">
            <wp:extent cx="5731510" cy="3165475"/>
            <wp:effectExtent l="0" t="0" r="2540" b="0"/>
            <wp:docPr id="195387951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4A1B6FE7" w14:textId="66576AFF" w:rsidR="008B7EF6" w:rsidRDefault="00D0523C">
      <w:r w:rsidRPr="0018122A">
        <w:rPr>
          <w:b/>
          <w:bCs/>
        </w:rPr>
        <w:t>Remarks:</w:t>
      </w:r>
      <w:r w:rsidRPr="00D0523C">
        <w:t xml:space="preserve">  Trends </w:t>
      </w:r>
      <w:r w:rsidR="00110A2F">
        <w:t xml:space="preserve">similar to </w:t>
      </w:r>
      <w:r w:rsidRPr="00D0523C">
        <w:t>other</w:t>
      </w:r>
      <w:r w:rsidR="00110A2F">
        <w:t xml:space="preserve"> </w:t>
      </w:r>
      <w:r w:rsidRPr="00D0523C">
        <w:t>boroughs</w:t>
      </w:r>
      <w:r>
        <w:t>.  Primarily as gas.  Domestic larger than commercial and road transport.</w:t>
      </w:r>
    </w:p>
    <w:p w14:paraId="3ED5BC02" w14:textId="77777777" w:rsidR="008B7EF6" w:rsidRDefault="008B7EF6">
      <w:r>
        <w:br w:type="page"/>
      </w:r>
    </w:p>
    <w:p w14:paraId="289A75B7" w14:textId="77777777" w:rsidR="008B7EF6" w:rsidRPr="00A13679" w:rsidRDefault="008B7EF6" w:rsidP="008B7EF6">
      <w:pPr>
        <w:rPr>
          <w:i/>
          <w:iCs/>
          <w:u w:val="single"/>
        </w:rPr>
      </w:pPr>
      <w:r w:rsidRPr="00A13679">
        <w:rPr>
          <w:i/>
          <w:iCs/>
          <w:u w:val="single"/>
        </w:rPr>
        <w:lastRenderedPageBreak/>
        <w:t>Royal Borough of Kensington and Chelsea</w:t>
      </w:r>
    </w:p>
    <w:p w14:paraId="48A2B0EA" w14:textId="1276651F" w:rsidR="008B7EF6" w:rsidRDefault="00121F29" w:rsidP="008B7EF6">
      <w:r w:rsidRPr="00121F29">
        <w:drawing>
          <wp:inline distT="0" distB="0" distL="0" distR="0" wp14:anchorId="3D19F615" wp14:editId="4F27357D">
            <wp:extent cx="5731510" cy="3165475"/>
            <wp:effectExtent l="0" t="0" r="2540" b="0"/>
            <wp:docPr id="20989884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2469ED22" w14:textId="57CE0D74" w:rsidR="008B7EF6" w:rsidRDefault="008B7EF6" w:rsidP="008B7EF6">
      <w:r w:rsidRPr="0018122A">
        <w:rPr>
          <w:b/>
          <w:bCs/>
        </w:rPr>
        <w:t>Remarks</w:t>
      </w:r>
      <w:r>
        <w:t xml:space="preserve">:  Trends similar to other boroughs.  Overall share from commercial similar </w:t>
      </w:r>
      <w:r w:rsidR="00DF5034">
        <w:t xml:space="preserve">to that of </w:t>
      </w:r>
      <w:r>
        <w:t>domestic.  Primarily from gas.  Most of the remainder attributable to road transport.</w:t>
      </w:r>
    </w:p>
    <w:p w14:paraId="0EBAE8F4" w14:textId="77777777" w:rsidR="008B7EF6" w:rsidRDefault="008B7EF6" w:rsidP="008B7EF6">
      <w:pPr>
        <w:rPr>
          <w:u w:val="single"/>
        </w:rPr>
      </w:pPr>
    </w:p>
    <w:p w14:paraId="6BC99BC4" w14:textId="77777777" w:rsidR="004C6CC9" w:rsidRDefault="004C6CC9" w:rsidP="008B7EF6">
      <w:pPr>
        <w:rPr>
          <w:u w:val="single"/>
        </w:rPr>
      </w:pPr>
    </w:p>
    <w:p w14:paraId="1635C695" w14:textId="7BB6B362" w:rsidR="004C6CC9" w:rsidRPr="00A13679" w:rsidRDefault="004C6CC9" w:rsidP="004C6CC9">
      <w:pPr>
        <w:rPr>
          <w:i/>
          <w:iCs/>
          <w:u w:val="single"/>
        </w:rPr>
      </w:pPr>
      <w:r>
        <w:rPr>
          <w:i/>
          <w:iCs/>
          <w:u w:val="single"/>
        </w:rPr>
        <w:t>London</w:t>
      </w:r>
      <w:r w:rsidRPr="00A13679">
        <w:rPr>
          <w:i/>
          <w:iCs/>
          <w:u w:val="single"/>
        </w:rPr>
        <w:t xml:space="preserve"> Borough of </w:t>
      </w:r>
      <w:r>
        <w:rPr>
          <w:i/>
          <w:iCs/>
          <w:u w:val="single"/>
        </w:rPr>
        <w:t>Kingston upon Thames</w:t>
      </w:r>
    </w:p>
    <w:p w14:paraId="5C77F59A" w14:textId="5FE598B2" w:rsidR="004C6CC9" w:rsidRDefault="00B87B19" w:rsidP="008B7EF6">
      <w:pPr>
        <w:rPr>
          <w:u w:val="single"/>
        </w:rPr>
      </w:pPr>
      <w:r w:rsidRPr="00B87B19">
        <w:drawing>
          <wp:inline distT="0" distB="0" distL="0" distR="0" wp14:anchorId="2F89C97C" wp14:editId="7338A4BA">
            <wp:extent cx="5731510" cy="3165475"/>
            <wp:effectExtent l="0" t="0" r="2540" b="0"/>
            <wp:docPr id="154898834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31D4BB2F" w14:textId="4398296D" w:rsidR="004C6CC9" w:rsidRDefault="004C6CC9" w:rsidP="008B7EF6">
      <w:pPr>
        <w:rPr>
          <w:u w:val="single"/>
        </w:rPr>
      </w:pPr>
      <w:r w:rsidRPr="0018122A">
        <w:rPr>
          <w:b/>
          <w:bCs/>
        </w:rPr>
        <w:t>Remarks</w:t>
      </w:r>
      <w:r>
        <w:t>:  Trends similar to other boroughs.  Primarily domestic (mainly from gas) and road transport.</w:t>
      </w:r>
    </w:p>
    <w:p w14:paraId="224185E6" w14:textId="1F866032" w:rsidR="004C6CC9" w:rsidRDefault="004C6CC9">
      <w:pPr>
        <w:rPr>
          <w:u w:val="single"/>
        </w:rPr>
      </w:pPr>
      <w:r>
        <w:rPr>
          <w:u w:val="single"/>
        </w:rPr>
        <w:br w:type="page"/>
      </w:r>
    </w:p>
    <w:p w14:paraId="30C60EA9" w14:textId="0CE24B91" w:rsidR="005C1EF2" w:rsidRPr="00A13679" w:rsidRDefault="005C1EF2" w:rsidP="005C1EF2">
      <w:pPr>
        <w:rPr>
          <w:i/>
          <w:iCs/>
          <w:u w:val="single"/>
        </w:rPr>
      </w:pPr>
      <w:r w:rsidRPr="00A13679">
        <w:rPr>
          <w:i/>
          <w:iCs/>
          <w:u w:val="single"/>
        </w:rPr>
        <w:lastRenderedPageBreak/>
        <w:t xml:space="preserve">London Borough of </w:t>
      </w:r>
      <w:r>
        <w:rPr>
          <w:i/>
          <w:iCs/>
          <w:u w:val="single"/>
        </w:rPr>
        <w:t>Lambeth</w:t>
      </w:r>
    </w:p>
    <w:p w14:paraId="1F627D9B" w14:textId="73F43850" w:rsidR="005C1EF2" w:rsidRPr="005C1EF2" w:rsidRDefault="00B87B19" w:rsidP="0033291D">
      <w:r w:rsidRPr="00B87B19">
        <w:drawing>
          <wp:inline distT="0" distB="0" distL="0" distR="0" wp14:anchorId="62F5A0E7" wp14:editId="48246697">
            <wp:extent cx="5731510" cy="3165475"/>
            <wp:effectExtent l="0" t="0" r="2540" b="0"/>
            <wp:docPr id="8526919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47F82B22" w14:textId="77777777" w:rsidR="005C1EF2" w:rsidRDefault="005C1EF2" w:rsidP="005C1EF2">
      <w:pPr>
        <w:rPr>
          <w:u w:val="single"/>
        </w:rPr>
      </w:pPr>
      <w:r w:rsidRPr="0018122A">
        <w:rPr>
          <w:b/>
          <w:bCs/>
        </w:rPr>
        <w:t>Remarks</w:t>
      </w:r>
      <w:r>
        <w:t>:  Trends similar to other boroughs.  Primarily domestic (mainly from gas) and road transport.</w:t>
      </w:r>
    </w:p>
    <w:p w14:paraId="1D4B02A8" w14:textId="77777777" w:rsidR="005C1EF2" w:rsidRPr="005C1EF2" w:rsidRDefault="005C1EF2" w:rsidP="0033291D"/>
    <w:p w14:paraId="751CA36C" w14:textId="77777777" w:rsidR="005C1EF2" w:rsidRPr="005C1EF2" w:rsidRDefault="005C1EF2" w:rsidP="0033291D"/>
    <w:p w14:paraId="211D49E9" w14:textId="61B197E2" w:rsidR="0033291D" w:rsidRPr="00A13679" w:rsidRDefault="0033291D" w:rsidP="0033291D">
      <w:pPr>
        <w:rPr>
          <w:i/>
          <w:iCs/>
          <w:u w:val="single"/>
        </w:rPr>
      </w:pPr>
      <w:r w:rsidRPr="00A13679">
        <w:rPr>
          <w:i/>
          <w:iCs/>
          <w:u w:val="single"/>
        </w:rPr>
        <w:t xml:space="preserve">London Borough of </w:t>
      </w:r>
      <w:r>
        <w:rPr>
          <w:i/>
          <w:iCs/>
          <w:u w:val="single"/>
        </w:rPr>
        <w:t>Lewisham</w:t>
      </w:r>
    </w:p>
    <w:p w14:paraId="77732ACA" w14:textId="5320FC70" w:rsidR="008B7EF6" w:rsidRDefault="00B87B19" w:rsidP="008B7EF6">
      <w:pPr>
        <w:rPr>
          <w:u w:val="single"/>
        </w:rPr>
      </w:pPr>
      <w:r w:rsidRPr="00B87B19">
        <w:drawing>
          <wp:inline distT="0" distB="0" distL="0" distR="0" wp14:anchorId="104A7265" wp14:editId="71266392">
            <wp:extent cx="5731510" cy="3165475"/>
            <wp:effectExtent l="0" t="0" r="2540" b="0"/>
            <wp:docPr id="13146745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10927E06" w14:textId="13695141" w:rsidR="004D449F" w:rsidRDefault="004D449F">
      <w:pPr>
        <w:rPr>
          <w:u w:val="single"/>
        </w:rPr>
      </w:pPr>
      <w:r w:rsidRPr="0018122A">
        <w:rPr>
          <w:b/>
          <w:bCs/>
        </w:rPr>
        <w:t>Remarks</w:t>
      </w:r>
      <w:r>
        <w:t>:  Trends similar to other boroughs.  Primarily gas for domestic sector and road transport.</w:t>
      </w:r>
    </w:p>
    <w:p w14:paraId="5EB98B60" w14:textId="0F24C47C" w:rsidR="004D449F" w:rsidRDefault="004D449F">
      <w:pPr>
        <w:rPr>
          <w:u w:val="single"/>
        </w:rPr>
      </w:pPr>
      <w:r>
        <w:rPr>
          <w:u w:val="single"/>
        </w:rPr>
        <w:br w:type="page"/>
      </w:r>
    </w:p>
    <w:p w14:paraId="0948711C" w14:textId="58F8E016" w:rsidR="0033291D" w:rsidRPr="0033291D" w:rsidRDefault="0033291D" w:rsidP="008B7EF6">
      <w:pPr>
        <w:rPr>
          <w:i/>
          <w:iCs/>
          <w:u w:val="single"/>
        </w:rPr>
      </w:pPr>
      <w:r w:rsidRPr="0033291D">
        <w:rPr>
          <w:i/>
          <w:iCs/>
          <w:u w:val="single"/>
        </w:rPr>
        <w:lastRenderedPageBreak/>
        <w:t>London Borough of Merton</w:t>
      </w:r>
    </w:p>
    <w:p w14:paraId="6E0C16FC" w14:textId="5AC33BF4" w:rsidR="0033291D" w:rsidRPr="004D449F" w:rsidRDefault="00B87B19" w:rsidP="008B7EF6">
      <w:r w:rsidRPr="00B87B19">
        <w:drawing>
          <wp:inline distT="0" distB="0" distL="0" distR="0" wp14:anchorId="24CD457A" wp14:editId="7B84F9E9">
            <wp:extent cx="5731510" cy="3165475"/>
            <wp:effectExtent l="0" t="0" r="2540" b="0"/>
            <wp:docPr id="88193412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0497D2DF" w14:textId="6742C0AA" w:rsidR="0033291D" w:rsidRDefault="004D449F" w:rsidP="008B7EF6">
      <w:pPr>
        <w:rPr>
          <w:u w:val="single"/>
        </w:rPr>
      </w:pPr>
      <w:r w:rsidRPr="0018122A">
        <w:rPr>
          <w:b/>
          <w:bCs/>
        </w:rPr>
        <w:t>Remarks</w:t>
      </w:r>
      <w:r>
        <w:t>:  Trends similar to other boroughs.  Primarily gas for domestic sector and road transport.</w:t>
      </w:r>
    </w:p>
    <w:p w14:paraId="23258CC9" w14:textId="77777777" w:rsidR="004D449F" w:rsidRDefault="004D449F" w:rsidP="008B7EF6">
      <w:pPr>
        <w:rPr>
          <w:u w:val="single"/>
        </w:rPr>
      </w:pPr>
    </w:p>
    <w:p w14:paraId="5362B88B" w14:textId="53DD3ABC" w:rsidR="00D0523C" w:rsidRPr="00A13679" w:rsidRDefault="00D0523C">
      <w:pPr>
        <w:rPr>
          <w:i/>
          <w:iCs/>
          <w:u w:val="single"/>
        </w:rPr>
      </w:pPr>
      <w:r w:rsidRPr="00A13679">
        <w:rPr>
          <w:i/>
          <w:iCs/>
          <w:u w:val="single"/>
        </w:rPr>
        <w:t>London Borough of Newham</w:t>
      </w:r>
    </w:p>
    <w:p w14:paraId="099EA2AC" w14:textId="459B45FF" w:rsidR="00D0523C" w:rsidRDefault="00B87B19">
      <w:r w:rsidRPr="00B87B19">
        <w:drawing>
          <wp:inline distT="0" distB="0" distL="0" distR="0" wp14:anchorId="2D0D5282" wp14:editId="5EEC2024">
            <wp:extent cx="5731510" cy="3165475"/>
            <wp:effectExtent l="0" t="0" r="2540" b="0"/>
            <wp:docPr id="94056452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6FBF9443" w14:textId="3239735D" w:rsidR="008B7EF6" w:rsidRDefault="00D0523C">
      <w:r w:rsidRPr="0018122A">
        <w:rPr>
          <w:b/>
          <w:bCs/>
        </w:rPr>
        <w:t>Remarks:</w:t>
      </w:r>
      <w:r>
        <w:t xml:space="preserve">  Trends similar to other boroughs.  Emissions from industry prominent</w:t>
      </w:r>
      <w:r w:rsidR="0085091B">
        <w:t xml:space="preserve"> (mainly from gas)</w:t>
      </w:r>
      <w:r>
        <w:t>.</w:t>
      </w:r>
    </w:p>
    <w:p w14:paraId="610B8BE7" w14:textId="77777777" w:rsidR="008B7EF6" w:rsidRDefault="008B7EF6">
      <w:r>
        <w:br w:type="page"/>
      </w:r>
    </w:p>
    <w:p w14:paraId="389D4563" w14:textId="15B38164" w:rsidR="0085091B" w:rsidRPr="00A13679" w:rsidRDefault="0085091B" w:rsidP="00F13568">
      <w:pPr>
        <w:rPr>
          <w:i/>
          <w:iCs/>
          <w:u w:val="single"/>
        </w:rPr>
      </w:pPr>
      <w:r w:rsidRPr="00A13679">
        <w:rPr>
          <w:i/>
          <w:iCs/>
          <w:u w:val="single"/>
        </w:rPr>
        <w:lastRenderedPageBreak/>
        <w:t>London Borough of Redbridge</w:t>
      </w:r>
    </w:p>
    <w:p w14:paraId="5E227ADD" w14:textId="00FF71FC" w:rsidR="0085091B" w:rsidRDefault="00B87B19" w:rsidP="00F13568">
      <w:pPr>
        <w:rPr>
          <w:u w:val="single"/>
        </w:rPr>
      </w:pPr>
      <w:r w:rsidRPr="00B87B19">
        <w:drawing>
          <wp:inline distT="0" distB="0" distL="0" distR="0" wp14:anchorId="6FD8D732" wp14:editId="61E5C3D1">
            <wp:extent cx="5731510" cy="3165475"/>
            <wp:effectExtent l="0" t="0" r="2540" b="0"/>
            <wp:docPr id="129115444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79095CF3" w14:textId="3ECEEAA8" w:rsidR="0085091B" w:rsidRDefault="0085091B" w:rsidP="00F13568">
      <w:pPr>
        <w:rPr>
          <w:u w:val="single"/>
        </w:rPr>
      </w:pPr>
      <w:r w:rsidRPr="0018122A">
        <w:rPr>
          <w:b/>
          <w:bCs/>
        </w:rPr>
        <w:t>Remarks:</w:t>
      </w:r>
      <w:r>
        <w:t xml:space="preserve">  Trends similar to other boroughs.  </w:t>
      </w:r>
      <w:r w:rsidR="00F56038">
        <w:t xml:space="preserve">Predominantly domestic (mainly </w:t>
      </w:r>
      <w:r>
        <w:t>from gas)</w:t>
      </w:r>
      <w:r w:rsidR="00F56038">
        <w:t xml:space="preserve"> and road transport</w:t>
      </w:r>
      <w:r>
        <w:t>.</w:t>
      </w:r>
    </w:p>
    <w:p w14:paraId="75BB2B62" w14:textId="77777777" w:rsidR="008B7EF6" w:rsidRDefault="008B7EF6">
      <w:pPr>
        <w:rPr>
          <w:u w:val="single"/>
        </w:rPr>
      </w:pPr>
    </w:p>
    <w:p w14:paraId="4460C127" w14:textId="77777777" w:rsidR="008B7EF6" w:rsidRDefault="008B7EF6">
      <w:pPr>
        <w:rPr>
          <w:u w:val="single"/>
        </w:rPr>
      </w:pPr>
    </w:p>
    <w:p w14:paraId="0BE0D531" w14:textId="773FBCDA" w:rsidR="00F84380" w:rsidRPr="00A13679" w:rsidRDefault="00F13568" w:rsidP="00F13568">
      <w:pPr>
        <w:rPr>
          <w:i/>
          <w:iCs/>
          <w:u w:val="single"/>
        </w:rPr>
      </w:pPr>
      <w:r w:rsidRPr="00A13679">
        <w:rPr>
          <w:i/>
          <w:iCs/>
          <w:u w:val="single"/>
        </w:rPr>
        <w:t>London</w:t>
      </w:r>
      <w:r w:rsidR="00E20C66" w:rsidRPr="00A13679">
        <w:rPr>
          <w:i/>
          <w:iCs/>
          <w:u w:val="single"/>
        </w:rPr>
        <w:t xml:space="preserve"> Borough of Richmond</w:t>
      </w:r>
    </w:p>
    <w:p w14:paraId="21DCBCC1" w14:textId="54C3CB19" w:rsidR="00E20C66" w:rsidRDefault="00B87B19">
      <w:r w:rsidRPr="00B87B19">
        <w:drawing>
          <wp:inline distT="0" distB="0" distL="0" distR="0" wp14:anchorId="2490D06A" wp14:editId="2A1C6869">
            <wp:extent cx="5731510" cy="3165475"/>
            <wp:effectExtent l="0" t="0" r="2540" b="0"/>
            <wp:docPr id="6087234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49BD1B88" w14:textId="2A42A097" w:rsidR="008B7EF6" w:rsidRDefault="00E20C66">
      <w:r w:rsidRPr="0018122A">
        <w:rPr>
          <w:b/>
          <w:bCs/>
        </w:rPr>
        <w:t>Remarks</w:t>
      </w:r>
      <w:r>
        <w:t xml:space="preserve">: </w:t>
      </w:r>
      <w:r w:rsidR="00110A2F">
        <w:t xml:space="preserve"> T</w:t>
      </w:r>
      <w:r>
        <w:t>rend</w:t>
      </w:r>
      <w:r w:rsidR="00110A2F">
        <w:t>s</w:t>
      </w:r>
      <w:r>
        <w:t xml:space="preserve"> similar to other boroughs.  Primarily domestic</w:t>
      </w:r>
      <w:r w:rsidR="00F13568">
        <w:t xml:space="preserve"> (especially from gas)</w:t>
      </w:r>
      <w:r>
        <w:t xml:space="preserve"> and road transport.</w:t>
      </w:r>
    </w:p>
    <w:p w14:paraId="32D1E3C2" w14:textId="77777777" w:rsidR="008B7EF6" w:rsidRDefault="008B7EF6">
      <w:r>
        <w:br w:type="page"/>
      </w:r>
    </w:p>
    <w:p w14:paraId="69E327FD" w14:textId="6B83121C" w:rsidR="00457731" w:rsidRPr="00A13679" w:rsidRDefault="00F56038">
      <w:pPr>
        <w:rPr>
          <w:i/>
          <w:iCs/>
          <w:u w:val="single"/>
        </w:rPr>
      </w:pPr>
      <w:r w:rsidRPr="00A13679">
        <w:rPr>
          <w:i/>
          <w:iCs/>
          <w:u w:val="single"/>
        </w:rPr>
        <w:lastRenderedPageBreak/>
        <w:t>London Borough of Southwark</w:t>
      </w:r>
    </w:p>
    <w:p w14:paraId="16583B54" w14:textId="343D142F" w:rsidR="00F56038" w:rsidRDefault="00B87B19">
      <w:r w:rsidRPr="00B87B19">
        <w:drawing>
          <wp:inline distT="0" distB="0" distL="0" distR="0" wp14:anchorId="13C5444C" wp14:editId="123545A6">
            <wp:extent cx="5731510" cy="3165475"/>
            <wp:effectExtent l="0" t="0" r="2540" b="0"/>
            <wp:docPr id="5607031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7B42CD46" w14:textId="548D219C" w:rsidR="00F56038" w:rsidRDefault="00F56038">
      <w:bookmarkStart w:id="0" w:name="_Hlk172585373"/>
      <w:r w:rsidRPr="0018122A">
        <w:rPr>
          <w:b/>
          <w:bCs/>
        </w:rPr>
        <w:t>Remarks</w:t>
      </w:r>
      <w:r>
        <w:t>:  Trends similar to other boroughs.  Primarily commercial, domestic and road transport.  Public sector prominent (mainly from gas).</w:t>
      </w:r>
    </w:p>
    <w:bookmarkEnd w:id="0"/>
    <w:p w14:paraId="68A18469" w14:textId="77777777" w:rsidR="008B7EF6" w:rsidRDefault="008B7EF6"/>
    <w:p w14:paraId="15058E11" w14:textId="77777777" w:rsidR="008B7EF6" w:rsidRDefault="008B7EF6"/>
    <w:p w14:paraId="5DE2B6F7" w14:textId="4E5F562A" w:rsidR="00F56038" w:rsidRPr="00A13679" w:rsidRDefault="00F56038">
      <w:pPr>
        <w:rPr>
          <w:i/>
          <w:iCs/>
          <w:u w:val="single"/>
        </w:rPr>
      </w:pPr>
      <w:r w:rsidRPr="00A13679">
        <w:rPr>
          <w:i/>
          <w:iCs/>
          <w:u w:val="single"/>
        </w:rPr>
        <w:t>London Borough of Sutton</w:t>
      </w:r>
    </w:p>
    <w:p w14:paraId="609EA7F0" w14:textId="03FB0878" w:rsidR="00F56038" w:rsidRDefault="00B87B19">
      <w:pPr>
        <w:rPr>
          <w:u w:val="single"/>
        </w:rPr>
      </w:pPr>
      <w:r w:rsidRPr="00B87B19">
        <w:drawing>
          <wp:inline distT="0" distB="0" distL="0" distR="0" wp14:anchorId="053C560B" wp14:editId="47BD7FD6">
            <wp:extent cx="5731510" cy="3165475"/>
            <wp:effectExtent l="0" t="0" r="2540" b="0"/>
            <wp:docPr id="204215998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75D5D0D6" w14:textId="7ED25481" w:rsidR="008B7EF6" w:rsidRDefault="00F56038">
      <w:r w:rsidRPr="0018122A">
        <w:rPr>
          <w:b/>
          <w:bCs/>
        </w:rPr>
        <w:t>Remarks:</w:t>
      </w:r>
      <w:r>
        <w:t xml:space="preserve">  Trends similar to other boroughs.  Primarily domestic (mainly from gas) and road transport.</w:t>
      </w:r>
    </w:p>
    <w:p w14:paraId="6600D05F" w14:textId="77777777" w:rsidR="008B7EF6" w:rsidRDefault="008B7EF6">
      <w:r>
        <w:br w:type="page"/>
      </w:r>
    </w:p>
    <w:p w14:paraId="406A48C5" w14:textId="454F4286" w:rsidR="00457731" w:rsidRPr="00A13679" w:rsidRDefault="00457731">
      <w:pPr>
        <w:rPr>
          <w:i/>
          <w:iCs/>
          <w:u w:val="single"/>
        </w:rPr>
      </w:pPr>
      <w:r w:rsidRPr="00A13679">
        <w:rPr>
          <w:i/>
          <w:iCs/>
          <w:u w:val="single"/>
        </w:rPr>
        <w:lastRenderedPageBreak/>
        <w:t>London Borough of Tower Hamlets</w:t>
      </w:r>
    </w:p>
    <w:p w14:paraId="022D76C2" w14:textId="0CF9433E" w:rsidR="00457731" w:rsidRDefault="00B87B19">
      <w:r w:rsidRPr="00B87B19">
        <w:drawing>
          <wp:inline distT="0" distB="0" distL="0" distR="0" wp14:anchorId="78F4051E" wp14:editId="7EA4A274">
            <wp:extent cx="5731510" cy="3165475"/>
            <wp:effectExtent l="0" t="0" r="2540" b="0"/>
            <wp:docPr id="100976212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5D8A6CC6" w14:textId="48F9E7A9" w:rsidR="008B7EF6" w:rsidRDefault="00457731">
      <w:bookmarkStart w:id="1" w:name="_Hlk172585687"/>
      <w:r w:rsidRPr="0018122A">
        <w:rPr>
          <w:b/>
          <w:bCs/>
        </w:rPr>
        <w:t>Remarks:</w:t>
      </w:r>
      <w:r>
        <w:t xml:space="preserve">  Trends similar to </w:t>
      </w:r>
      <w:r w:rsidR="00F56038">
        <w:t>other boroughs</w:t>
      </w:r>
      <w:r>
        <w:t xml:space="preserve">.  </w:t>
      </w:r>
      <w:r w:rsidR="00F56038">
        <w:t xml:space="preserve">Primarily from electricity (largely beyond the purview of regional and local government other than through advocacy).  </w:t>
      </w:r>
      <w:r>
        <w:t xml:space="preserve">Includes Canary </w:t>
      </w:r>
      <w:bookmarkEnd w:id="1"/>
      <w:r>
        <w:t>Wharf</w:t>
      </w:r>
      <w:r w:rsidR="004D449F">
        <w:t>.</w:t>
      </w:r>
    </w:p>
    <w:p w14:paraId="036615FB" w14:textId="77777777" w:rsidR="008B7EF6" w:rsidRDefault="008B7EF6"/>
    <w:p w14:paraId="6E0657CE" w14:textId="271A3BE6" w:rsidR="0018122A" w:rsidRDefault="0018122A"/>
    <w:p w14:paraId="23EFB93E" w14:textId="6C106371" w:rsidR="00AE25F6" w:rsidRPr="00A13679" w:rsidRDefault="00AE25F6" w:rsidP="00457731">
      <w:pPr>
        <w:rPr>
          <w:i/>
          <w:iCs/>
          <w:u w:val="single"/>
        </w:rPr>
      </w:pPr>
      <w:r w:rsidRPr="00A13679">
        <w:rPr>
          <w:i/>
          <w:iCs/>
          <w:u w:val="single"/>
        </w:rPr>
        <w:t>London Borough of Waltham Forest</w:t>
      </w:r>
    </w:p>
    <w:p w14:paraId="6FADD71E" w14:textId="7123C5B1" w:rsidR="00AE25F6" w:rsidRDefault="00B87B19" w:rsidP="00457731">
      <w:r w:rsidRPr="00B87B19">
        <w:drawing>
          <wp:inline distT="0" distB="0" distL="0" distR="0" wp14:anchorId="2E3C00E3" wp14:editId="16922569">
            <wp:extent cx="5731510" cy="3165475"/>
            <wp:effectExtent l="0" t="0" r="2540" b="0"/>
            <wp:docPr id="169073524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140694C0" w14:textId="36391816" w:rsidR="008B7EF6" w:rsidRDefault="00AE25F6">
      <w:r w:rsidRPr="0018122A">
        <w:rPr>
          <w:b/>
          <w:bCs/>
        </w:rPr>
        <w:t>Remarks:</w:t>
      </w:r>
      <w:r>
        <w:t xml:space="preserve">  Trends similar to other boroughs.  Primarily domestic (mainly from gas) and road transport.</w:t>
      </w:r>
      <w:r w:rsidR="008B7EF6">
        <w:br w:type="page"/>
      </w:r>
    </w:p>
    <w:p w14:paraId="39797388" w14:textId="0A149B91" w:rsidR="00AE25F6" w:rsidRPr="00A13679" w:rsidRDefault="00AE25F6">
      <w:pPr>
        <w:rPr>
          <w:i/>
          <w:iCs/>
          <w:u w:val="single"/>
        </w:rPr>
      </w:pPr>
      <w:r w:rsidRPr="00A13679">
        <w:rPr>
          <w:i/>
          <w:iCs/>
          <w:u w:val="single"/>
        </w:rPr>
        <w:lastRenderedPageBreak/>
        <w:t>London Borough of Wandsworth</w:t>
      </w:r>
    </w:p>
    <w:p w14:paraId="585FF485" w14:textId="0692305C" w:rsidR="00AE25F6" w:rsidRDefault="00B87B19">
      <w:r w:rsidRPr="00B87B19">
        <w:drawing>
          <wp:inline distT="0" distB="0" distL="0" distR="0" wp14:anchorId="3ED6E772" wp14:editId="03E65C56">
            <wp:extent cx="5731510" cy="3165475"/>
            <wp:effectExtent l="0" t="0" r="2540" b="0"/>
            <wp:docPr id="41295402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26F25A16" w14:textId="1F94A181" w:rsidR="008B7EF6" w:rsidRDefault="00AE25F6" w:rsidP="00AE25F6">
      <w:r w:rsidRPr="0018122A">
        <w:rPr>
          <w:b/>
          <w:bCs/>
        </w:rPr>
        <w:t>Remarks:</w:t>
      </w:r>
      <w:r>
        <w:t xml:space="preserve">  Trends similar to other boroughs.  Primarily domestic (mainly from gas).  Public sector (from gas) prominent.</w:t>
      </w:r>
    </w:p>
    <w:p w14:paraId="25677F42" w14:textId="77777777" w:rsidR="008B7EF6" w:rsidRDefault="008B7EF6"/>
    <w:p w14:paraId="54F6837C" w14:textId="77777777" w:rsidR="008B7EF6" w:rsidRDefault="008B7EF6"/>
    <w:p w14:paraId="612AD659" w14:textId="77777777" w:rsidR="008B7EF6" w:rsidRPr="00A13679" w:rsidRDefault="008B7EF6" w:rsidP="008B7EF6">
      <w:pPr>
        <w:rPr>
          <w:i/>
          <w:iCs/>
          <w:u w:val="single"/>
        </w:rPr>
      </w:pPr>
      <w:r w:rsidRPr="00A13679">
        <w:rPr>
          <w:i/>
          <w:iCs/>
          <w:u w:val="single"/>
        </w:rPr>
        <w:t>City of Westminster</w:t>
      </w:r>
    </w:p>
    <w:p w14:paraId="436DF597" w14:textId="110A90B7" w:rsidR="008B7EF6" w:rsidRDefault="00B87B19" w:rsidP="008B7EF6">
      <w:pPr>
        <w:rPr>
          <w:u w:val="single"/>
        </w:rPr>
      </w:pPr>
      <w:r w:rsidRPr="00B87B19">
        <w:drawing>
          <wp:inline distT="0" distB="0" distL="0" distR="0" wp14:anchorId="2210DBFF" wp14:editId="72A07738">
            <wp:extent cx="5731510" cy="3165475"/>
            <wp:effectExtent l="0" t="0" r="2540" b="0"/>
            <wp:docPr id="177402412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6C7372DA" w14:textId="61B0C383" w:rsidR="008B7EF6" w:rsidRDefault="008B7EF6" w:rsidP="008B7EF6">
      <w:r w:rsidRPr="0018122A">
        <w:rPr>
          <w:b/>
          <w:bCs/>
        </w:rPr>
        <w:t>Remarks:</w:t>
      </w:r>
      <w:r w:rsidRPr="00DB37B0">
        <w:t xml:space="preserve">  </w:t>
      </w:r>
      <w:r w:rsidR="004D449F">
        <w:t xml:space="preserve">Trend similar to other boroughs.  </w:t>
      </w:r>
      <w:r w:rsidR="00110A2F">
        <w:t>Electricity and gas primarily attributabl</w:t>
      </w:r>
      <w:r>
        <w:t>e to commercial properties.</w:t>
      </w:r>
    </w:p>
    <w:sectPr w:rsidR="008B7E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C4EB7" w14:textId="77777777" w:rsidR="00800F8C" w:rsidRDefault="00800F8C" w:rsidP="00EE34EE">
      <w:pPr>
        <w:spacing w:after="0" w:line="240" w:lineRule="auto"/>
      </w:pPr>
      <w:r>
        <w:separator/>
      </w:r>
    </w:p>
  </w:endnote>
  <w:endnote w:type="continuationSeparator" w:id="0">
    <w:p w14:paraId="17EE3971" w14:textId="77777777" w:rsidR="00800F8C" w:rsidRDefault="00800F8C" w:rsidP="00EE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702D" w14:textId="77777777" w:rsidR="00800F8C" w:rsidRDefault="00800F8C" w:rsidP="00EE34EE">
      <w:pPr>
        <w:spacing w:after="0" w:line="240" w:lineRule="auto"/>
      </w:pPr>
      <w:r>
        <w:separator/>
      </w:r>
    </w:p>
  </w:footnote>
  <w:footnote w:type="continuationSeparator" w:id="0">
    <w:p w14:paraId="7A11B913" w14:textId="77777777" w:rsidR="00800F8C" w:rsidRDefault="00800F8C" w:rsidP="00EE34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B0"/>
    <w:rsid w:val="00070834"/>
    <w:rsid w:val="00086FD2"/>
    <w:rsid w:val="000E550B"/>
    <w:rsid w:val="00110A2F"/>
    <w:rsid w:val="00121F29"/>
    <w:rsid w:val="00153D8E"/>
    <w:rsid w:val="00163671"/>
    <w:rsid w:val="001711C2"/>
    <w:rsid w:val="00171DF2"/>
    <w:rsid w:val="0018122A"/>
    <w:rsid w:val="001D2196"/>
    <w:rsid w:val="002A62F1"/>
    <w:rsid w:val="002B0787"/>
    <w:rsid w:val="0033291D"/>
    <w:rsid w:val="00337A37"/>
    <w:rsid w:val="00374559"/>
    <w:rsid w:val="0037555F"/>
    <w:rsid w:val="00386F2B"/>
    <w:rsid w:val="003A3370"/>
    <w:rsid w:val="003F0734"/>
    <w:rsid w:val="004267A1"/>
    <w:rsid w:val="00457731"/>
    <w:rsid w:val="004C42DF"/>
    <w:rsid w:val="004C6CC9"/>
    <w:rsid w:val="004D449F"/>
    <w:rsid w:val="00504A63"/>
    <w:rsid w:val="00514347"/>
    <w:rsid w:val="005343F0"/>
    <w:rsid w:val="00542077"/>
    <w:rsid w:val="00584E3E"/>
    <w:rsid w:val="005C1EF2"/>
    <w:rsid w:val="00667EB6"/>
    <w:rsid w:val="00672674"/>
    <w:rsid w:val="0069126E"/>
    <w:rsid w:val="006B1C8C"/>
    <w:rsid w:val="00747390"/>
    <w:rsid w:val="00767AD0"/>
    <w:rsid w:val="00795221"/>
    <w:rsid w:val="00800F8C"/>
    <w:rsid w:val="0085091B"/>
    <w:rsid w:val="00871A2D"/>
    <w:rsid w:val="008828D5"/>
    <w:rsid w:val="00886C4D"/>
    <w:rsid w:val="008A3111"/>
    <w:rsid w:val="008B7EF6"/>
    <w:rsid w:val="008C6EB2"/>
    <w:rsid w:val="008F3783"/>
    <w:rsid w:val="00962E70"/>
    <w:rsid w:val="00996553"/>
    <w:rsid w:val="009B5546"/>
    <w:rsid w:val="009C6179"/>
    <w:rsid w:val="00A13679"/>
    <w:rsid w:val="00A32064"/>
    <w:rsid w:val="00A375DC"/>
    <w:rsid w:val="00AB1163"/>
    <w:rsid w:val="00AE25F6"/>
    <w:rsid w:val="00AE2A2B"/>
    <w:rsid w:val="00B14582"/>
    <w:rsid w:val="00B4224C"/>
    <w:rsid w:val="00B50702"/>
    <w:rsid w:val="00B87B19"/>
    <w:rsid w:val="00BB4404"/>
    <w:rsid w:val="00BD3905"/>
    <w:rsid w:val="00C62DC9"/>
    <w:rsid w:val="00C674E5"/>
    <w:rsid w:val="00D0523C"/>
    <w:rsid w:val="00D65F82"/>
    <w:rsid w:val="00D75583"/>
    <w:rsid w:val="00DB37B0"/>
    <w:rsid w:val="00DB5447"/>
    <w:rsid w:val="00DF5034"/>
    <w:rsid w:val="00E05CD6"/>
    <w:rsid w:val="00E16C2A"/>
    <w:rsid w:val="00E20C66"/>
    <w:rsid w:val="00E8758F"/>
    <w:rsid w:val="00ED0A1A"/>
    <w:rsid w:val="00EE34EE"/>
    <w:rsid w:val="00EF67C2"/>
    <w:rsid w:val="00F13568"/>
    <w:rsid w:val="00F30C30"/>
    <w:rsid w:val="00F373B5"/>
    <w:rsid w:val="00F45B14"/>
    <w:rsid w:val="00F56038"/>
    <w:rsid w:val="00F64ACE"/>
    <w:rsid w:val="00F84380"/>
    <w:rsid w:val="00FD7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4B83"/>
  <w15:chartTrackingRefBased/>
  <w15:docId w15:val="{0DF6252C-175E-4EAA-A45C-E7820A60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7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7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B37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B37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37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37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37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7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7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37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37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37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37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37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3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7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7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37B0"/>
    <w:pPr>
      <w:spacing w:before="160"/>
      <w:jc w:val="center"/>
    </w:pPr>
    <w:rPr>
      <w:i/>
      <w:iCs/>
      <w:color w:val="404040" w:themeColor="text1" w:themeTint="BF"/>
    </w:rPr>
  </w:style>
  <w:style w:type="character" w:customStyle="1" w:styleId="QuoteChar">
    <w:name w:val="Quote Char"/>
    <w:basedOn w:val="DefaultParagraphFont"/>
    <w:link w:val="Quote"/>
    <w:uiPriority w:val="29"/>
    <w:rsid w:val="00DB37B0"/>
    <w:rPr>
      <w:i/>
      <w:iCs/>
      <w:color w:val="404040" w:themeColor="text1" w:themeTint="BF"/>
    </w:rPr>
  </w:style>
  <w:style w:type="paragraph" w:styleId="ListParagraph">
    <w:name w:val="List Paragraph"/>
    <w:basedOn w:val="Normal"/>
    <w:uiPriority w:val="34"/>
    <w:qFormat/>
    <w:rsid w:val="00DB37B0"/>
    <w:pPr>
      <w:ind w:left="720"/>
      <w:contextualSpacing/>
    </w:pPr>
  </w:style>
  <w:style w:type="character" w:styleId="IntenseEmphasis">
    <w:name w:val="Intense Emphasis"/>
    <w:basedOn w:val="DefaultParagraphFont"/>
    <w:uiPriority w:val="21"/>
    <w:qFormat/>
    <w:rsid w:val="00DB37B0"/>
    <w:rPr>
      <w:i/>
      <w:iCs/>
      <w:color w:val="0F4761" w:themeColor="accent1" w:themeShade="BF"/>
    </w:rPr>
  </w:style>
  <w:style w:type="paragraph" w:styleId="IntenseQuote">
    <w:name w:val="Intense Quote"/>
    <w:basedOn w:val="Normal"/>
    <w:next w:val="Normal"/>
    <w:link w:val="IntenseQuoteChar"/>
    <w:uiPriority w:val="30"/>
    <w:qFormat/>
    <w:rsid w:val="00DB3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7B0"/>
    <w:rPr>
      <w:i/>
      <w:iCs/>
      <w:color w:val="0F4761" w:themeColor="accent1" w:themeShade="BF"/>
    </w:rPr>
  </w:style>
  <w:style w:type="character" w:styleId="IntenseReference">
    <w:name w:val="Intense Reference"/>
    <w:basedOn w:val="DefaultParagraphFont"/>
    <w:uiPriority w:val="32"/>
    <w:qFormat/>
    <w:rsid w:val="00DB37B0"/>
    <w:rPr>
      <w:b/>
      <w:bCs/>
      <w:smallCaps/>
      <w:color w:val="0F4761" w:themeColor="accent1" w:themeShade="BF"/>
      <w:spacing w:val="5"/>
    </w:rPr>
  </w:style>
  <w:style w:type="character" w:styleId="Hyperlink">
    <w:name w:val="Hyperlink"/>
    <w:basedOn w:val="DefaultParagraphFont"/>
    <w:uiPriority w:val="99"/>
    <w:unhideWhenUsed/>
    <w:rsid w:val="00886C4D"/>
    <w:rPr>
      <w:color w:val="467886" w:themeColor="hyperlink"/>
      <w:u w:val="single"/>
    </w:rPr>
  </w:style>
  <w:style w:type="character" w:styleId="UnresolvedMention">
    <w:name w:val="Unresolved Mention"/>
    <w:basedOn w:val="DefaultParagraphFont"/>
    <w:uiPriority w:val="99"/>
    <w:semiHidden/>
    <w:unhideWhenUsed/>
    <w:rsid w:val="00886C4D"/>
    <w:rPr>
      <w:color w:val="605E5C"/>
      <w:shd w:val="clear" w:color="auto" w:fill="E1DFDD"/>
    </w:rPr>
  </w:style>
  <w:style w:type="paragraph" w:styleId="FootnoteText">
    <w:name w:val="footnote text"/>
    <w:basedOn w:val="Normal"/>
    <w:link w:val="FootnoteTextChar"/>
    <w:uiPriority w:val="99"/>
    <w:semiHidden/>
    <w:unhideWhenUsed/>
    <w:rsid w:val="00EE34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4EE"/>
    <w:rPr>
      <w:sz w:val="20"/>
      <w:szCs w:val="20"/>
    </w:rPr>
  </w:style>
  <w:style w:type="character" w:styleId="FootnoteReference">
    <w:name w:val="footnote reference"/>
    <w:basedOn w:val="DefaultParagraphFont"/>
    <w:uiPriority w:val="99"/>
    <w:semiHidden/>
    <w:unhideWhenUsed/>
    <w:rsid w:val="00EE34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fontTable" Target="fontTable.xml"/><Relationship Id="rId7" Type="http://schemas.openxmlformats.org/officeDocument/2006/relationships/hyperlink" Target="https://assets.publishing.service.gov.uk/media/6a3bacc7eaee00074150f326/2005-24-uk-local-authority-ghg-emissions.xlsx" TargetMode="External"/><Relationship Id="rId2" Type="http://schemas.openxmlformats.org/officeDocument/2006/relationships/styles" Target="styles.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20" Type="http://schemas.openxmlformats.org/officeDocument/2006/relationships/image" Target="media/image13.emf"/><Relationship Id="rId41"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E6868-8462-4E8A-A819-ED2A73105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22</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18</cp:revision>
  <dcterms:created xsi:type="dcterms:W3CDTF">2024-07-22T18:39:00Z</dcterms:created>
  <dcterms:modified xsi:type="dcterms:W3CDTF">2026-07-01T22:05:00Z</dcterms:modified>
</cp:coreProperties>
</file>